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Ind w:w="45" w:type="dxa"/>
        <w:tblCellMar>
          <w:top w:w="15" w:type="dxa"/>
          <w:left w:w="15" w:type="dxa"/>
          <w:bottom w:w="15" w:type="dxa"/>
          <w:right w:w="15" w:type="dxa"/>
        </w:tblCellMar>
        <w:tblLook w:val="04A0"/>
      </w:tblPr>
      <w:tblGrid>
        <w:gridCol w:w="3261"/>
        <w:gridCol w:w="5899"/>
      </w:tblGrid>
      <w:tr w:rsidR="004279F5" w:rsidRPr="001649E8" w:rsidTr="00E3540D">
        <w:trPr>
          <w:tblCellSpacing w:w="15" w:type="dxa"/>
        </w:trPr>
        <w:tc>
          <w:tcPr>
            <w:tcW w:w="1755" w:type="pct"/>
          </w:tcPr>
          <w:p w:rsidR="00E3540D" w:rsidRDefault="00E3540D" w:rsidP="00B31DA2">
            <w:pPr>
              <w:spacing w:after="0" w:line="240" w:lineRule="auto"/>
              <w:jc w:val="center"/>
              <w:rPr>
                <w:rFonts w:ascii="Times New Roman" w:hAnsi="Times New Roman"/>
                <w:b/>
                <w:sz w:val="26"/>
                <w:szCs w:val="26"/>
              </w:rPr>
            </w:pPr>
          </w:p>
          <w:p w:rsidR="004279F5" w:rsidRDefault="00E3540D" w:rsidP="00B31DA2">
            <w:pPr>
              <w:spacing w:after="0" w:line="240" w:lineRule="auto"/>
              <w:jc w:val="center"/>
              <w:rPr>
                <w:rFonts w:ascii="Times New Roman" w:hAnsi="Times New Roman"/>
                <w:b/>
                <w:sz w:val="26"/>
                <w:szCs w:val="26"/>
              </w:rPr>
            </w:pPr>
            <w:r>
              <w:rPr>
                <w:rFonts w:ascii="Times New Roman" w:hAnsi="Times New Roman"/>
                <w:b/>
                <w:sz w:val="26"/>
                <w:szCs w:val="26"/>
              </w:rPr>
              <w:t xml:space="preserve">VĂN </w:t>
            </w:r>
            <w:r w:rsidR="00B31DA2">
              <w:rPr>
                <w:rFonts w:ascii="Times New Roman" w:hAnsi="Times New Roman"/>
                <w:b/>
                <w:sz w:val="26"/>
                <w:szCs w:val="26"/>
              </w:rPr>
              <w:t>BẢN HỢP NHẤT</w:t>
            </w:r>
          </w:p>
          <w:p w:rsidR="00E3540D" w:rsidRDefault="00E3540D" w:rsidP="00635E11">
            <w:pPr>
              <w:spacing w:before="60" w:after="0" w:line="240" w:lineRule="auto"/>
              <w:rPr>
                <w:rFonts w:ascii="Times New Roman" w:eastAsia="Times New Roman" w:hAnsi="Times New Roman"/>
                <w:sz w:val="26"/>
                <w:szCs w:val="26"/>
              </w:rPr>
            </w:pPr>
          </w:p>
          <w:p w:rsidR="004279F5" w:rsidRPr="001649E8" w:rsidRDefault="004279F5" w:rsidP="00635E11">
            <w:pPr>
              <w:spacing w:before="60" w:after="0" w:line="240" w:lineRule="auto"/>
              <w:rPr>
                <w:rFonts w:ascii="Times New Roman" w:eastAsia="Times New Roman" w:hAnsi="Times New Roman"/>
                <w:sz w:val="26"/>
                <w:szCs w:val="26"/>
              </w:rPr>
            </w:pPr>
            <w:r w:rsidRPr="001649E8">
              <w:rPr>
                <w:rFonts w:ascii="Times New Roman" w:eastAsia="Times New Roman" w:hAnsi="Times New Roman"/>
                <w:sz w:val="26"/>
                <w:szCs w:val="26"/>
              </w:rPr>
              <w:t xml:space="preserve">Số:  </w:t>
            </w:r>
            <w:r w:rsidR="0043079B">
              <w:rPr>
                <w:rFonts w:ascii="Times New Roman" w:eastAsia="Times New Roman" w:hAnsi="Times New Roman"/>
                <w:sz w:val="26"/>
                <w:szCs w:val="26"/>
              </w:rPr>
              <w:t>33</w:t>
            </w:r>
            <w:r w:rsidR="002419E8">
              <w:rPr>
                <w:rFonts w:ascii="Times New Roman" w:eastAsia="Times New Roman" w:hAnsi="Times New Roman"/>
                <w:sz w:val="26"/>
                <w:szCs w:val="26"/>
              </w:rPr>
              <w:t>/2026</w:t>
            </w:r>
            <w:r w:rsidRPr="001649E8">
              <w:rPr>
                <w:rFonts w:ascii="Times New Roman" w:eastAsia="Times New Roman" w:hAnsi="Times New Roman"/>
                <w:sz w:val="26"/>
                <w:szCs w:val="26"/>
              </w:rPr>
              <w:t>/</w:t>
            </w:r>
            <w:r w:rsidR="000E7CB5" w:rsidRPr="001649E8">
              <w:rPr>
                <w:rFonts w:ascii="Times New Roman" w:eastAsia="Times New Roman" w:hAnsi="Times New Roman"/>
                <w:sz w:val="26"/>
                <w:szCs w:val="26"/>
              </w:rPr>
              <w:t>VBHN-TT-BTC</w:t>
            </w:r>
          </w:p>
          <w:p w:rsidR="004279F5" w:rsidRPr="001649E8" w:rsidRDefault="004279F5" w:rsidP="00973047">
            <w:pPr>
              <w:spacing w:after="0" w:line="240" w:lineRule="auto"/>
              <w:jc w:val="both"/>
              <w:rPr>
                <w:rFonts w:ascii="Times New Roman" w:eastAsia="Times New Roman" w:hAnsi="Times New Roman"/>
                <w:sz w:val="28"/>
                <w:szCs w:val="28"/>
              </w:rPr>
            </w:pPr>
          </w:p>
        </w:tc>
        <w:tc>
          <w:tcPr>
            <w:tcW w:w="3195" w:type="pct"/>
            <w:vAlign w:val="center"/>
          </w:tcPr>
          <w:p w:rsidR="004279F5" w:rsidRPr="001649E8" w:rsidRDefault="004279F5" w:rsidP="004279F5">
            <w:pPr>
              <w:spacing w:after="0" w:line="240" w:lineRule="auto"/>
              <w:jc w:val="both"/>
              <w:rPr>
                <w:rFonts w:ascii="Times New Roman" w:eastAsia="Times New Roman" w:hAnsi="Times New Roman"/>
                <w:b/>
                <w:sz w:val="26"/>
                <w:szCs w:val="26"/>
              </w:rPr>
            </w:pPr>
            <w:r w:rsidRPr="001649E8">
              <w:rPr>
                <w:rFonts w:ascii="Times New Roman" w:eastAsia="Times New Roman" w:hAnsi="Times New Roman"/>
                <w:sz w:val="28"/>
                <w:szCs w:val="28"/>
              </w:rPr>
              <w:t> </w:t>
            </w:r>
            <w:r w:rsidR="00031D1C" w:rsidRPr="001649E8">
              <w:rPr>
                <w:rFonts w:ascii="Times New Roman" w:eastAsia="Times New Roman" w:hAnsi="Times New Roman"/>
                <w:b/>
                <w:sz w:val="24"/>
                <w:szCs w:val="24"/>
              </w:rPr>
              <w:t xml:space="preserve">  </w:t>
            </w:r>
            <w:r w:rsidRPr="001649E8">
              <w:rPr>
                <w:rFonts w:ascii="Times New Roman" w:eastAsia="Times New Roman" w:hAnsi="Times New Roman"/>
                <w:b/>
                <w:sz w:val="24"/>
                <w:szCs w:val="24"/>
              </w:rPr>
              <w:t xml:space="preserve">   </w:t>
            </w:r>
            <w:r w:rsidRPr="001649E8">
              <w:rPr>
                <w:rFonts w:ascii="Times New Roman" w:eastAsia="Times New Roman" w:hAnsi="Times New Roman"/>
                <w:b/>
                <w:sz w:val="26"/>
                <w:szCs w:val="26"/>
              </w:rPr>
              <w:t>CỘNG HOÀ XÃ HỘI CHỦ NGHĨA VIỆT NAM</w:t>
            </w:r>
          </w:p>
          <w:p w:rsidR="004279F5" w:rsidRPr="001649E8" w:rsidRDefault="004279F5" w:rsidP="00973047">
            <w:pPr>
              <w:spacing w:after="0" w:line="240" w:lineRule="auto"/>
              <w:jc w:val="center"/>
              <w:rPr>
                <w:rFonts w:ascii="Times New Roman" w:eastAsia="Times New Roman" w:hAnsi="Times New Roman"/>
                <w:b/>
                <w:sz w:val="28"/>
                <w:szCs w:val="28"/>
              </w:rPr>
            </w:pPr>
            <w:r w:rsidRPr="001649E8">
              <w:rPr>
                <w:rFonts w:ascii="Times New Roman" w:eastAsia="Times New Roman" w:hAnsi="Times New Roman"/>
                <w:b/>
                <w:sz w:val="28"/>
                <w:szCs w:val="28"/>
              </w:rPr>
              <w:t xml:space="preserve">     Độc lập - Tự do - Hạnh phúc</w:t>
            </w:r>
          </w:p>
          <w:p w:rsidR="004279F5" w:rsidRPr="001649E8" w:rsidRDefault="007F1ADA" w:rsidP="00A232E6">
            <w:pPr>
              <w:spacing w:after="0" w:line="240" w:lineRule="auto"/>
              <w:jc w:val="center"/>
              <w:rPr>
                <w:rFonts w:ascii="Times New Roman" w:hAnsi="Times New Roman"/>
                <w:i/>
                <w:sz w:val="28"/>
                <w:szCs w:val="28"/>
              </w:rPr>
            </w:pPr>
            <w:r>
              <w:rPr>
                <w:rFonts w:ascii="Times New Roman" w:hAnsi="Times New Roman"/>
                <w:i/>
                <w:noProof/>
                <w:sz w:val="28"/>
                <w:szCs w:val="28"/>
              </w:rPr>
              <w:pict>
                <v:shapetype id="_x0000_t32" coordsize="21600,21600" o:spt="32" o:oned="t" path="m,l21600,21600e" filled="f">
                  <v:path arrowok="t" fillok="f" o:connecttype="none"/>
                  <o:lock v:ext="edit" shapetype="t"/>
                </v:shapetype>
                <v:shape id="AutoShape 5" o:spid="_x0000_s2051" type="#_x0000_t32" style="position:absolute;left:0;text-align:left;margin-left:71.75pt;margin-top:4.95pt;width:164.1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qnwzAEAAJIDAAAOAAAAZHJzL2Uyb0RvYy54bWysU8Fu2zAMvQ/YPwi6L44ztMiMOD2k6y7d&#10;FqDdBzCSbAuVRYFU4uTvJ2lJVmyXYagPhCiST3yP9OruODpxMMQWfSvr2VwK4xVq6/tW/nh++LCU&#10;giN4DQ69aeXJsLxbv3+3mkJjFjig04ZEAvHcTKGVQ4yhqSpWgxmBZxiMT8EOaYSYXOorTTAl9NFV&#10;i/n8tpqQdCBUhjnd3v8KynXB7zqj4veuYxOFa2XqLRZLxe6yrdYraHqCMFh1bgP+o4sRrE+PXqHu&#10;IYLYk/0LarSKkLGLM4VjhV1nlSkcEpt6/gebpwGCKVySOByuMvHbwapvh43fUm5dHf1TeET1wsLj&#10;ZgDfm9LA8ymkwdVZqmoK3FxLssNhS2I3fUWdcmAfsahw7GjMkImfOBaxT1exzTEKlS4X9cfl7TLN&#10;RF1iFTSXwkAcvxgcRT60kiOB7Ye4Qe/TSJHq8gwcHjnmtqC5FORXPT5Y58pknRdTKz/dLG5KAaOz&#10;OgdzGlO/2zgSB8i7Ub7CMUVepxHuvS5ggwH92WsRiyA+7bPM6KPRUjiT1j+fSmYE6/4lMzXu/FnW&#10;rGReW252qE9byryylwZfGJ6XNG/Wa79k/f6V1j8BAAD//wMAUEsDBBQABgAIAAAAIQBsc9Fh2wAA&#10;AAcBAAAPAAAAZHJzL2Rvd25yZXYueG1sTI5NT8MwEETvlfgP1lbiUlG7X6gJcaoKiQNH2kpc3XhJ&#10;QuN1FDtN6K9n4QLHpxnNvGw3ukZcsQu1Jw2LuQKBVHhbU6nhdHx52III0ZA1jSfU8IUBdvndJDOp&#10;9QO94fUQS8EjFFKjoYqxTaUMRYXOhLlvkTj78J0zkbErpe3MwOOukUulHqUzNfFDZVp8rrC4HHqn&#10;AUO/Wah94srT622YvS9vn0N71Pp+Ou6fQEQc418ZfvRZHXJ2OvuebBAN83q14aqGJAHB+XqrViDO&#10;vyzzTP73z78BAAD//wMAUEsBAi0AFAAGAAgAAAAhALaDOJL+AAAA4QEAABMAAAAAAAAAAAAAAAAA&#10;AAAAAFtDb250ZW50X1R5cGVzXS54bWxQSwECLQAUAAYACAAAACEAOP0h/9YAAACUAQAACwAAAAAA&#10;AAAAAAAAAAAvAQAAX3JlbHMvLnJlbHNQSwECLQAUAAYACAAAACEALu6p8MwBAACSAwAADgAAAAAA&#10;AAAAAAAAAAAuAgAAZHJzL2Uyb0RvYy54bWxQSwECLQAUAAYACAAAACEAbHPRYdsAAAAHAQAADwAA&#10;AAAAAAAAAAAAAAAmBAAAZHJzL2Rvd25yZXYueG1sUEsFBgAAAAAEAAQA8wAAAC4FAAAAAA==&#10;" adj="-42141,-1,-42141"/>
              </w:pict>
            </w:r>
            <w:r w:rsidR="004279F5" w:rsidRPr="001649E8">
              <w:rPr>
                <w:rFonts w:ascii="Times New Roman" w:hAnsi="Times New Roman"/>
                <w:i/>
                <w:sz w:val="28"/>
                <w:szCs w:val="28"/>
              </w:rPr>
              <w:t xml:space="preserve">    </w:t>
            </w:r>
          </w:p>
          <w:p w:rsidR="004279F5" w:rsidRPr="001649E8" w:rsidRDefault="004279F5" w:rsidP="00070DB3">
            <w:pPr>
              <w:spacing w:after="0" w:line="240" w:lineRule="auto"/>
              <w:jc w:val="center"/>
              <w:rPr>
                <w:rFonts w:ascii="Times New Roman" w:eastAsia="Times New Roman" w:hAnsi="Times New Roman"/>
                <w:iCs/>
                <w:sz w:val="28"/>
                <w:szCs w:val="28"/>
              </w:rPr>
            </w:pPr>
            <w:r w:rsidRPr="001649E8">
              <w:rPr>
                <w:rFonts w:ascii="Times New Roman" w:eastAsia="Times New Roman" w:hAnsi="Times New Roman"/>
                <w:i/>
                <w:iCs/>
                <w:sz w:val="28"/>
                <w:szCs w:val="28"/>
              </w:rPr>
              <w:t xml:space="preserve">     Hà Nội, ngày  </w:t>
            </w:r>
            <w:r w:rsidR="0043079B">
              <w:rPr>
                <w:rFonts w:ascii="Times New Roman" w:eastAsia="Times New Roman" w:hAnsi="Times New Roman"/>
                <w:i/>
                <w:iCs/>
                <w:sz w:val="28"/>
                <w:szCs w:val="28"/>
              </w:rPr>
              <w:t>09</w:t>
            </w:r>
            <w:r w:rsidRPr="001649E8">
              <w:rPr>
                <w:rFonts w:ascii="Times New Roman" w:eastAsia="Times New Roman" w:hAnsi="Times New Roman"/>
                <w:i/>
                <w:iCs/>
                <w:sz w:val="28"/>
                <w:szCs w:val="28"/>
              </w:rPr>
              <w:t xml:space="preserve"> tháng </w:t>
            </w:r>
            <w:r w:rsidR="0043079B">
              <w:rPr>
                <w:rFonts w:ascii="Times New Roman" w:eastAsia="Times New Roman" w:hAnsi="Times New Roman"/>
                <w:i/>
                <w:iCs/>
                <w:sz w:val="28"/>
                <w:szCs w:val="28"/>
              </w:rPr>
              <w:t>9</w:t>
            </w:r>
            <w:r w:rsidRPr="001649E8">
              <w:rPr>
                <w:rFonts w:ascii="Times New Roman" w:eastAsia="Times New Roman" w:hAnsi="Times New Roman"/>
                <w:i/>
                <w:iCs/>
                <w:sz w:val="28"/>
                <w:szCs w:val="28"/>
              </w:rPr>
              <w:t xml:space="preserve">  năm 202</w:t>
            </w:r>
            <w:r w:rsidR="00DF3405" w:rsidRPr="001649E8">
              <w:rPr>
                <w:rFonts w:ascii="Times New Roman" w:eastAsia="Times New Roman" w:hAnsi="Times New Roman"/>
                <w:i/>
                <w:iCs/>
                <w:sz w:val="28"/>
                <w:szCs w:val="28"/>
              </w:rPr>
              <w:t>6</w:t>
            </w:r>
          </w:p>
          <w:p w:rsidR="004279F5" w:rsidRPr="001649E8" w:rsidRDefault="004279F5" w:rsidP="00FE51EB">
            <w:pPr>
              <w:spacing w:after="0" w:line="240" w:lineRule="auto"/>
              <w:jc w:val="both"/>
              <w:rPr>
                <w:rFonts w:ascii="Times New Roman" w:eastAsia="Times New Roman" w:hAnsi="Times New Roman"/>
                <w:i/>
                <w:sz w:val="28"/>
                <w:szCs w:val="28"/>
              </w:rPr>
            </w:pPr>
          </w:p>
        </w:tc>
      </w:tr>
    </w:tbl>
    <w:p w:rsidR="00FE51EB" w:rsidRPr="001649E8" w:rsidRDefault="000A0C65" w:rsidP="000A0C65">
      <w:pPr>
        <w:tabs>
          <w:tab w:val="left" w:pos="503"/>
          <w:tab w:val="center" w:pos="4535"/>
        </w:tabs>
        <w:spacing w:after="0" w:line="240" w:lineRule="auto"/>
        <w:jc w:val="center"/>
        <w:rPr>
          <w:rFonts w:ascii="Times New Roman" w:eastAsia="Times New Roman" w:hAnsi="Times New Roman"/>
          <w:b/>
          <w:bCs/>
          <w:sz w:val="28"/>
          <w:szCs w:val="28"/>
        </w:rPr>
      </w:pPr>
      <w:r w:rsidRPr="001649E8">
        <w:rPr>
          <w:rFonts w:ascii="Times New Roman" w:eastAsia="Times New Roman" w:hAnsi="Times New Roman"/>
          <w:b/>
          <w:bCs/>
          <w:sz w:val="28"/>
          <w:szCs w:val="28"/>
        </w:rPr>
        <w:t>T</w:t>
      </w:r>
      <w:r w:rsidR="00FE51EB" w:rsidRPr="001649E8">
        <w:rPr>
          <w:rFonts w:ascii="Times New Roman" w:eastAsia="Times New Roman" w:hAnsi="Times New Roman"/>
          <w:b/>
          <w:bCs/>
          <w:sz w:val="28"/>
          <w:szCs w:val="28"/>
        </w:rPr>
        <w:t>HÔNG TƯ</w:t>
      </w:r>
    </w:p>
    <w:p w:rsidR="00EE4A78" w:rsidRPr="001649E8" w:rsidRDefault="00BA2561" w:rsidP="00584286">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w:t>
      </w:r>
      <w:r w:rsidR="00584286" w:rsidRPr="001649E8">
        <w:rPr>
          <w:rFonts w:ascii="Times New Roman" w:eastAsia="Times New Roman" w:hAnsi="Times New Roman"/>
          <w:b/>
          <w:iCs/>
          <w:sz w:val="28"/>
          <w:szCs w:val="28"/>
          <w:lang w:val="nl-NL"/>
        </w:rPr>
        <w:t>ướng dẫn về thuế tài nguyên</w:t>
      </w:r>
    </w:p>
    <w:p w:rsidR="00E30FF1" w:rsidRPr="001649E8" w:rsidRDefault="00E30FF1" w:rsidP="00882325">
      <w:pPr>
        <w:spacing w:after="0" w:line="240" w:lineRule="auto"/>
        <w:jc w:val="center"/>
        <w:rPr>
          <w:rFonts w:ascii="Times New Roman" w:eastAsia="Times New Roman" w:hAnsi="Times New Roman"/>
          <w:b/>
          <w:sz w:val="28"/>
          <w:szCs w:val="28"/>
          <w:lang w:val="nl-NL"/>
        </w:rPr>
      </w:pPr>
    </w:p>
    <w:p w:rsidR="000E7CB5" w:rsidRPr="001649E8" w:rsidRDefault="000E7CB5"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Thông tư số 152/2015/TT-BTC ngày 02 tháng 10 năm 2015 của Bộ trưởng Bộ Tài chính hướng dẫn về Thuế tài nguyên, có hiệu lực kể từ ngày 20 tháng 11 năm 2015</w:t>
      </w:r>
      <w:r w:rsidR="002419E8">
        <w:rPr>
          <w:rFonts w:ascii="Times New Roman" w:hAnsi="Times New Roman"/>
          <w:color w:val="000000"/>
          <w:sz w:val="28"/>
          <w:szCs w:val="28"/>
        </w:rPr>
        <w:t>,</w:t>
      </w:r>
      <w:r w:rsidRPr="001649E8">
        <w:rPr>
          <w:rFonts w:ascii="Times New Roman" w:hAnsi="Times New Roman"/>
          <w:color w:val="000000"/>
          <w:sz w:val="28"/>
          <w:szCs w:val="28"/>
        </w:rPr>
        <w:t xml:space="preserve"> được sửa đổi, bổ sung bởi:</w:t>
      </w:r>
    </w:p>
    <w:p w:rsidR="000E7CB5" w:rsidRPr="001649E8" w:rsidRDefault="000E7CB5"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1. Thông tư số 12/2016/TT-BTC ngày 20 tháng 01 năm 2016 của Bộ Tài chính sửa đổi, bổ sung Khoản 1 Điều 7 Thông tư số 152/2015/TT-BTC ngày 02 tháng 10 năm 2015 của Bộ Tài chính hướng dẫn về thuế tài nguyên, có hiệu lực kể từ ngày 01 tháng 7 năm 2016;</w:t>
      </w:r>
    </w:p>
    <w:p w:rsidR="000E7CB5" w:rsidRPr="001649E8" w:rsidRDefault="005952A2"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2. Thông tư số 174/2016/TT-BTC ngày 28</w:t>
      </w:r>
      <w:r>
        <w:rPr>
          <w:rFonts w:ascii="Times New Roman" w:hAnsi="Times New Roman"/>
          <w:color w:val="000000"/>
          <w:sz w:val="28"/>
          <w:szCs w:val="28"/>
        </w:rPr>
        <w:t xml:space="preserve"> tháng </w:t>
      </w:r>
      <w:r w:rsidRPr="001649E8">
        <w:rPr>
          <w:rFonts w:ascii="Times New Roman" w:hAnsi="Times New Roman"/>
          <w:color w:val="000000"/>
          <w:sz w:val="28"/>
          <w:szCs w:val="28"/>
        </w:rPr>
        <w:t>10</w:t>
      </w:r>
      <w:r>
        <w:rPr>
          <w:rFonts w:ascii="Times New Roman" w:hAnsi="Times New Roman"/>
          <w:color w:val="000000"/>
          <w:sz w:val="28"/>
          <w:szCs w:val="28"/>
        </w:rPr>
        <w:t xml:space="preserve"> năm </w:t>
      </w:r>
      <w:r w:rsidRPr="001649E8">
        <w:rPr>
          <w:rFonts w:ascii="Times New Roman" w:hAnsi="Times New Roman"/>
          <w:color w:val="000000"/>
          <w:sz w:val="28"/>
          <w:szCs w:val="28"/>
        </w:rPr>
        <w:t>2016 của Bộ trưởng Bộ Tài chính sửa đổi điểm a Khoản 4 Điều 6 Thông tư số 152/2015/TT-BTC ngày 02 tháng 10 năm 2015 của Bộ trưởng Bộ Tài chính hướng dẫn về thuế tài nguyên, có hiệu lực kể từ ngày 12 tháng 12 năm 2016;</w:t>
      </w:r>
    </w:p>
    <w:p w:rsidR="000E7CB5" w:rsidRPr="001649E8" w:rsidRDefault="000E7CB5"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3. Thông tư số 41/2024/TT-BTC ngày 20 tháng 5 năm 2024 của Bộ trưởng Bộ Tài chính sửa đổi, bổ sung một số điều của Thông tư số 44/2017/TT-BTC ngày 12 tháng 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 có hiệu lực kể từ ngày 15 tháng 7 năm 2024;</w:t>
      </w:r>
    </w:p>
    <w:p w:rsidR="000E7CB5" w:rsidRPr="001649E8" w:rsidRDefault="000E7CB5"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 xml:space="preserve">4. Thông tư số </w:t>
      </w:r>
      <w:r w:rsidR="00C86B7D">
        <w:rPr>
          <w:rFonts w:ascii="Times New Roman" w:hAnsi="Times New Roman"/>
          <w:color w:val="000000"/>
          <w:sz w:val="28"/>
          <w:szCs w:val="28"/>
        </w:rPr>
        <w:t>135</w:t>
      </w:r>
      <w:r w:rsidRPr="001649E8">
        <w:rPr>
          <w:rFonts w:ascii="Times New Roman" w:hAnsi="Times New Roman"/>
          <w:color w:val="000000"/>
          <w:sz w:val="28"/>
          <w:szCs w:val="28"/>
        </w:rPr>
        <w:t xml:space="preserve">/2026/TT-BTC ngày </w:t>
      </w:r>
      <w:r w:rsidR="00C86B7D">
        <w:rPr>
          <w:rFonts w:ascii="Times New Roman" w:hAnsi="Times New Roman"/>
          <w:color w:val="000000"/>
          <w:sz w:val="28"/>
          <w:szCs w:val="28"/>
        </w:rPr>
        <w:t>09</w:t>
      </w:r>
      <w:r w:rsidRPr="001649E8">
        <w:rPr>
          <w:rFonts w:ascii="Times New Roman" w:hAnsi="Times New Roman"/>
          <w:color w:val="000000"/>
          <w:sz w:val="28"/>
          <w:szCs w:val="28"/>
        </w:rPr>
        <w:t xml:space="preserve"> tháng </w:t>
      </w:r>
      <w:r w:rsidR="00C86B7D">
        <w:rPr>
          <w:rFonts w:ascii="Times New Roman" w:hAnsi="Times New Roman"/>
          <w:color w:val="000000"/>
          <w:sz w:val="28"/>
          <w:szCs w:val="28"/>
        </w:rPr>
        <w:t>9</w:t>
      </w:r>
      <w:r w:rsidRPr="001649E8">
        <w:rPr>
          <w:rFonts w:ascii="Times New Roman" w:hAnsi="Times New Roman"/>
          <w:color w:val="000000"/>
          <w:sz w:val="28"/>
          <w:szCs w:val="28"/>
        </w:rPr>
        <w:t xml:space="preserve"> năm 2026 của Bộ trưởng Bộ Tài chính sửa đổi, bổ sung một số điều của Thông tư số 152/2015/TT-BTC</w:t>
      </w:r>
      <w:r w:rsidR="008D517F" w:rsidRPr="008D517F">
        <w:rPr>
          <w:rFonts w:ascii="Times New Roman" w:hAnsi="Times New Roman"/>
          <w:color w:val="000000"/>
          <w:sz w:val="28"/>
          <w:szCs w:val="28"/>
        </w:rPr>
        <w:t xml:space="preserve"> </w:t>
      </w:r>
      <w:r w:rsidR="00222E72" w:rsidRPr="00222E72">
        <w:rPr>
          <w:rFonts w:ascii="Times New Roman" w:hAnsi="Times New Roman"/>
          <w:iCs/>
          <w:sz w:val="28"/>
          <w:szCs w:val="28"/>
          <w:lang w:val="nl-NL"/>
        </w:rPr>
        <w:t>ngày 02 tháng 10 năm 2015 của Bộ trưởng Bộ Tài chính hướng dẫn về thuế tài nguyên được sửa đổi, bổ sung bởi Thông tư số 41/2024/TT-BTC</w:t>
      </w:r>
      <w:r w:rsidR="009759BD">
        <w:rPr>
          <w:rFonts w:ascii="Times New Roman" w:hAnsi="Times New Roman"/>
          <w:color w:val="000000"/>
          <w:sz w:val="28"/>
          <w:szCs w:val="28"/>
        </w:rPr>
        <w:t>, có hiệu lực kể từ ngày</w:t>
      </w:r>
      <w:r w:rsidR="008D517F">
        <w:rPr>
          <w:rFonts w:ascii="Times New Roman" w:hAnsi="Times New Roman"/>
          <w:color w:val="000000"/>
          <w:sz w:val="28"/>
          <w:szCs w:val="28"/>
        </w:rPr>
        <w:t xml:space="preserve"> </w:t>
      </w:r>
      <w:r w:rsidR="009759BD">
        <w:rPr>
          <w:rFonts w:ascii="Times New Roman" w:hAnsi="Times New Roman"/>
          <w:color w:val="000000"/>
          <w:sz w:val="28"/>
          <w:szCs w:val="28"/>
        </w:rPr>
        <w:t>09 tháng</w:t>
      </w:r>
      <w:r w:rsidR="008D517F">
        <w:rPr>
          <w:rFonts w:ascii="Times New Roman" w:hAnsi="Times New Roman"/>
          <w:color w:val="000000"/>
          <w:sz w:val="28"/>
          <w:szCs w:val="28"/>
        </w:rPr>
        <w:t xml:space="preserve"> </w:t>
      </w:r>
      <w:r w:rsidR="009759BD">
        <w:rPr>
          <w:rFonts w:ascii="Times New Roman" w:hAnsi="Times New Roman"/>
          <w:color w:val="000000"/>
          <w:sz w:val="28"/>
          <w:szCs w:val="28"/>
        </w:rPr>
        <w:t>9</w:t>
      </w:r>
      <w:r w:rsidRPr="001649E8">
        <w:rPr>
          <w:rFonts w:ascii="Times New Roman" w:hAnsi="Times New Roman"/>
          <w:color w:val="000000"/>
          <w:sz w:val="28"/>
          <w:szCs w:val="28"/>
        </w:rPr>
        <w:t xml:space="preserve"> năm 20</w:t>
      </w:r>
      <w:r w:rsidR="00124400">
        <w:rPr>
          <w:rFonts w:ascii="Times New Roman" w:hAnsi="Times New Roman"/>
          <w:color w:val="000000"/>
          <w:sz w:val="28"/>
          <w:szCs w:val="28"/>
        </w:rPr>
        <w:t>2</w:t>
      </w:r>
      <w:r w:rsidRPr="001649E8">
        <w:rPr>
          <w:rFonts w:ascii="Times New Roman" w:hAnsi="Times New Roman"/>
          <w:color w:val="000000"/>
          <w:sz w:val="28"/>
          <w:szCs w:val="28"/>
        </w:rPr>
        <w:t>6;</w:t>
      </w:r>
    </w:p>
    <w:p w:rsidR="00C43C46" w:rsidRPr="001649E8" w:rsidRDefault="00C43C46" w:rsidP="00F62B25">
      <w:pPr>
        <w:spacing w:before="120" w:after="120" w:line="240" w:lineRule="auto"/>
        <w:ind w:firstLine="691"/>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t>Căn cứ Luật Thuế tài nguyên số 45/2009/QH12 ngày 25 tháng 11 năm 2009;</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t xml:space="preserve">Căn cứ Luật Khoáng sản </w:t>
      </w:r>
      <w:r w:rsidRPr="00EC1C76">
        <w:rPr>
          <w:rFonts w:ascii="Times New Roman" w:eastAsia="Times New Roman" w:hAnsi="Times New Roman"/>
          <w:i/>
          <w:color w:val="000000"/>
          <w:sz w:val="28"/>
          <w:szCs w:val="28"/>
          <w:lang w:val="nl-NL"/>
        </w:rPr>
        <w:t>số 60/2010/QH12</w:t>
      </w:r>
      <w:r w:rsidRPr="001649E8">
        <w:rPr>
          <w:rFonts w:ascii="Times New Roman" w:eastAsia="Times New Roman" w:hAnsi="Times New Roman"/>
          <w:color w:val="000000"/>
          <w:sz w:val="28"/>
          <w:szCs w:val="28"/>
          <w:lang w:val="nl-NL"/>
        </w:rPr>
        <w:t xml:space="preserve"> </w:t>
      </w:r>
      <w:r w:rsidRPr="001649E8">
        <w:rPr>
          <w:rFonts w:ascii="Times New Roman" w:eastAsia="Times New Roman" w:hAnsi="Times New Roman"/>
          <w:i/>
          <w:color w:val="000000"/>
          <w:sz w:val="28"/>
          <w:szCs w:val="28"/>
          <w:lang w:val="nl-NL"/>
        </w:rPr>
        <w:t>ngày 17 tháng 11 năm 2010;</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t>Căn cứ Luật Quản lý Thuế số 78/2006/QH11 ngày 29 tháng 11 năm 2006; Luật sửa đổi, bổ sung một số điều của Luật Quản lý Thuế số 21/2012/QH13 ngày 20 tháng 11 năm 2012;</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t xml:space="preserve">Căn cứ Nghị quyết </w:t>
      </w:r>
      <w:r w:rsidRPr="001649E8">
        <w:rPr>
          <w:rFonts w:ascii="Times New Roman" w:eastAsia="Times New Roman" w:hAnsi="Times New Roman"/>
          <w:i/>
          <w:color w:val="000000"/>
          <w:sz w:val="28"/>
          <w:szCs w:val="28"/>
          <w:lang w:val="vi-VN"/>
        </w:rPr>
        <w:t>số 712/2013/UBTVQH13 ngày 16</w:t>
      </w:r>
      <w:r w:rsidRPr="001649E8">
        <w:rPr>
          <w:rFonts w:ascii="Times New Roman" w:eastAsia="Times New Roman" w:hAnsi="Times New Roman"/>
          <w:i/>
          <w:color w:val="000000"/>
          <w:sz w:val="28"/>
          <w:szCs w:val="28"/>
        </w:rPr>
        <w:t xml:space="preserve"> tháng 12 năm </w:t>
      </w:r>
      <w:r w:rsidRPr="001649E8">
        <w:rPr>
          <w:rFonts w:ascii="Times New Roman" w:eastAsia="Times New Roman" w:hAnsi="Times New Roman"/>
          <w:i/>
          <w:color w:val="000000"/>
          <w:sz w:val="28"/>
          <w:szCs w:val="28"/>
          <w:lang w:val="vi-VN"/>
        </w:rPr>
        <w:t>2013</w:t>
      </w:r>
      <w:r w:rsidRPr="001649E8">
        <w:rPr>
          <w:rFonts w:ascii="Times New Roman" w:eastAsia="Times New Roman" w:hAnsi="Times New Roman"/>
          <w:i/>
          <w:color w:val="000000"/>
          <w:sz w:val="28"/>
          <w:szCs w:val="28"/>
        </w:rPr>
        <w:t xml:space="preserve"> </w:t>
      </w:r>
      <w:r w:rsidR="00F2582F">
        <w:rPr>
          <w:rFonts w:ascii="Times New Roman" w:eastAsia="Times New Roman" w:hAnsi="Times New Roman"/>
          <w:i/>
          <w:color w:val="000000"/>
          <w:sz w:val="28"/>
          <w:szCs w:val="28"/>
          <w:lang w:val="nl-NL"/>
        </w:rPr>
        <w:t>của Ủy ban T</w:t>
      </w:r>
      <w:r w:rsidRPr="001649E8">
        <w:rPr>
          <w:rFonts w:ascii="Times New Roman" w:eastAsia="Times New Roman" w:hAnsi="Times New Roman"/>
          <w:i/>
          <w:color w:val="000000"/>
          <w:sz w:val="28"/>
          <w:szCs w:val="28"/>
          <w:lang w:val="nl-NL"/>
        </w:rPr>
        <w:t>hường vụ Quốc hội về việc ban hành Biểu mức thuế suất thuế tài nguyên;</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lastRenderedPageBreak/>
        <w:t xml:space="preserve"> Căn cứ Luật sửa đổi, bổ sung một số điều của các Luật về thuế số 71/2014/QH13 ngày </w:t>
      </w:r>
      <w:r w:rsidRPr="001649E8">
        <w:rPr>
          <w:rFonts w:ascii="Times New Roman" w:eastAsia="Times New Roman" w:hAnsi="Times New Roman"/>
          <w:i/>
          <w:iCs/>
          <w:color w:val="000000"/>
          <w:sz w:val="28"/>
          <w:szCs w:val="28"/>
          <w:lang w:val="am-ET"/>
        </w:rPr>
        <w:t>26 tháng 11 năm 2014</w:t>
      </w:r>
      <w:r w:rsidRPr="001649E8">
        <w:rPr>
          <w:rFonts w:ascii="Times New Roman" w:eastAsia="Times New Roman" w:hAnsi="Times New Roman"/>
          <w:i/>
          <w:iCs/>
          <w:color w:val="000000"/>
          <w:sz w:val="28"/>
          <w:szCs w:val="28"/>
          <w:lang w:val="nl-NL"/>
        </w:rPr>
        <w:t>;</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nl-NL"/>
        </w:rPr>
      </w:pPr>
      <w:r w:rsidRPr="001649E8">
        <w:rPr>
          <w:rFonts w:ascii="Times New Roman" w:eastAsia="Times New Roman" w:hAnsi="Times New Roman"/>
          <w:i/>
          <w:color w:val="000000"/>
          <w:sz w:val="28"/>
          <w:szCs w:val="28"/>
          <w:lang w:val="nl-NL"/>
        </w:rPr>
        <w:t>Căn cứ Nghị định số 83/2013/NĐ-CP ngày 22 tháng 7 năm 2013 của Chính phủ quy định chi tiết thi hành một số điều của Luật Quản lý Thuế và Luật sửa đổi, bổ sung một số điều của Luật Quản lý Thuế;</w:t>
      </w:r>
    </w:p>
    <w:p w:rsidR="00C43C46" w:rsidRPr="001649E8" w:rsidRDefault="00C43C46" w:rsidP="00F62B25">
      <w:pPr>
        <w:spacing w:before="120" w:after="120" w:line="240" w:lineRule="auto"/>
        <w:ind w:firstLine="691"/>
        <w:jc w:val="both"/>
        <w:rPr>
          <w:rFonts w:ascii="Times New Roman" w:eastAsia="Times New Roman" w:hAnsi="Times New Roman"/>
          <w:i/>
          <w:color w:val="000000"/>
          <w:sz w:val="28"/>
          <w:szCs w:val="24"/>
          <w:lang w:val="nl-NL"/>
        </w:rPr>
      </w:pPr>
      <w:r w:rsidRPr="001649E8">
        <w:rPr>
          <w:rFonts w:ascii="Times New Roman" w:eastAsia="Times New Roman" w:hAnsi="Times New Roman"/>
          <w:i/>
          <w:color w:val="000000"/>
          <w:sz w:val="28"/>
          <w:szCs w:val="24"/>
          <w:lang w:val="nl-NL"/>
        </w:rPr>
        <w:t>Căn cứ Nghị định số 50/2010/NĐ-CP ngày 14 tháng 5 năm 2010 của Chính phủ quy định chi tiết và hướng dẫn thi hành một số điều của Luật Thuế tài nguyên;</w:t>
      </w:r>
    </w:p>
    <w:p w:rsidR="00C43C46" w:rsidRPr="001649E8" w:rsidRDefault="00C43C46" w:rsidP="00F62B25">
      <w:pPr>
        <w:spacing w:before="120" w:after="120" w:line="240" w:lineRule="auto"/>
        <w:ind w:firstLine="691"/>
        <w:jc w:val="both"/>
        <w:rPr>
          <w:rFonts w:ascii="Times New Roman" w:eastAsia="Times New Roman" w:hAnsi="Times New Roman"/>
          <w:i/>
          <w:color w:val="000000"/>
          <w:sz w:val="28"/>
          <w:szCs w:val="24"/>
          <w:lang w:val="nl-NL"/>
        </w:rPr>
      </w:pPr>
      <w:r w:rsidRPr="001649E8">
        <w:rPr>
          <w:rFonts w:ascii="Times New Roman" w:eastAsia="Times New Roman" w:hAnsi="Times New Roman"/>
          <w:i/>
          <w:color w:val="000000"/>
          <w:sz w:val="28"/>
          <w:szCs w:val="24"/>
          <w:lang w:val="nl-NL"/>
        </w:rPr>
        <w:t>Căn cứ Nghị định số 12/2015/NĐ-CP ngày 12 tháng 02 năm 2015 của Chính phủ hướng dẫn thi hành Luật sửa đổi, bổ sung  một số điều của các Luật Thuế và sửa đổi, bổ sung một số điều của các Nghị định về thuế;</w:t>
      </w:r>
    </w:p>
    <w:p w:rsidR="00C43C46" w:rsidRPr="001649E8" w:rsidRDefault="00C43C46" w:rsidP="00F62B25">
      <w:pPr>
        <w:spacing w:before="120" w:after="120" w:line="240" w:lineRule="auto"/>
        <w:ind w:firstLine="684"/>
        <w:jc w:val="both"/>
        <w:rPr>
          <w:rFonts w:ascii="Times New Roman" w:eastAsia="Times New Roman" w:hAnsi="Times New Roman"/>
          <w:i/>
          <w:color w:val="000000"/>
          <w:sz w:val="28"/>
          <w:szCs w:val="28"/>
          <w:lang w:val="vi-VN"/>
        </w:rPr>
      </w:pPr>
      <w:r w:rsidRPr="001649E8">
        <w:rPr>
          <w:rFonts w:ascii="Times New Roman" w:eastAsia="Times New Roman" w:hAnsi="Times New Roman"/>
          <w:i/>
          <w:color w:val="000000"/>
          <w:sz w:val="28"/>
          <w:szCs w:val="24"/>
          <w:lang w:val="nl-NL"/>
        </w:rPr>
        <w:t xml:space="preserve">Căn cứ Nghị định số 215/2013/NĐ-CP ngày 23 tháng 12 năm 2013 của Chính phủ quy định chức năng, </w:t>
      </w:r>
      <w:r w:rsidRPr="001649E8">
        <w:rPr>
          <w:rFonts w:ascii="Times New Roman" w:eastAsia="Times New Roman" w:hAnsi="Times New Roman"/>
          <w:i/>
          <w:color w:val="000000"/>
          <w:sz w:val="28"/>
          <w:szCs w:val="28"/>
          <w:lang w:val="vi-VN"/>
        </w:rPr>
        <w:t>nhiệm vụ</w:t>
      </w:r>
      <w:r w:rsidRPr="001649E8">
        <w:rPr>
          <w:rFonts w:ascii="Times New Roman" w:eastAsia="Times New Roman" w:hAnsi="Times New Roman"/>
          <w:i/>
          <w:color w:val="000000"/>
          <w:sz w:val="28"/>
          <w:szCs w:val="28"/>
          <w:lang w:val="nl-NL"/>
        </w:rPr>
        <w:t xml:space="preserve">, </w:t>
      </w:r>
      <w:r w:rsidRPr="001649E8">
        <w:rPr>
          <w:rFonts w:ascii="Times New Roman" w:eastAsia="Times New Roman" w:hAnsi="Times New Roman"/>
          <w:i/>
          <w:color w:val="000000"/>
          <w:sz w:val="28"/>
          <w:szCs w:val="24"/>
          <w:lang w:val="nl-NL"/>
        </w:rPr>
        <w:t xml:space="preserve">quyền </w:t>
      </w:r>
      <w:r w:rsidRPr="001649E8">
        <w:rPr>
          <w:rFonts w:ascii="Times New Roman" w:eastAsia="Times New Roman" w:hAnsi="Times New Roman"/>
          <w:i/>
          <w:color w:val="000000"/>
          <w:sz w:val="28"/>
          <w:szCs w:val="28"/>
          <w:lang w:val="vi-VN"/>
        </w:rPr>
        <w:t xml:space="preserve">hạn và cơ cấu tổ chức của Bộ Tài chính; </w:t>
      </w:r>
    </w:p>
    <w:p w:rsidR="00C43C46" w:rsidRPr="001649E8" w:rsidRDefault="00C43C46" w:rsidP="00F62B25">
      <w:pPr>
        <w:snapToGrid w:val="0"/>
        <w:spacing w:before="120" w:after="120" w:line="240" w:lineRule="auto"/>
        <w:ind w:firstLine="720"/>
        <w:jc w:val="both"/>
        <w:rPr>
          <w:rFonts w:ascii="Times New Roman" w:eastAsia="Times New Roman" w:hAnsi="Times New Roman"/>
          <w:i/>
          <w:color w:val="000000"/>
          <w:sz w:val="28"/>
          <w:szCs w:val="24"/>
          <w:lang w:val="nl-NL"/>
        </w:rPr>
      </w:pPr>
      <w:r w:rsidRPr="001649E8">
        <w:rPr>
          <w:rFonts w:ascii="Times New Roman" w:eastAsia="Times New Roman" w:hAnsi="Times New Roman"/>
          <w:i/>
          <w:color w:val="000000"/>
          <w:sz w:val="28"/>
          <w:szCs w:val="24"/>
          <w:lang w:val="nl-NL"/>
        </w:rPr>
        <w:t>Trên cơ sở ý kiến của Bộ Tài nguyên và Môi trường tại công văn số 2626/BTNMT-TC ngày 29 tháng 6 năm 2015;</w:t>
      </w:r>
    </w:p>
    <w:p w:rsidR="00C43C46" w:rsidRPr="001649E8" w:rsidRDefault="00C43C46" w:rsidP="00F62B25">
      <w:pPr>
        <w:snapToGrid w:val="0"/>
        <w:spacing w:before="120" w:after="120" w:line="240" w:lineRule="auto"/>
        <w:ind w:firstLine="720"/>
        <w:jc w:val="both"/>
        <w:rPr>
          <w:rFonts w:ascii="Times New Roman" w:eastAsia="Times New Roman" w:hAnsi="Times New Roman"/>
          <w:i/>
          <w:color w:val="000000"/>
          <w:sz w:val="28"/>
          <w:szCs w:val="24"/>
          <w:lang w:val="vi-VN"/>
        </w:rPr>
      </w:pPr>
      <w:r w:rsidRPr="001649E8">
        <w:rPr>
          <w:rFonts w:ascii="Times New Roman" w:eastAsia="Times New Roman" w:hAnsi="Times New Roman"/>
          <w:i/>
          <w:color w:val="000000"/>
          <w:sz w:val="28"/>
          <w:szCs w:val="24"/>
          <w:lang w:val="vi-VN"/>
        </w:rPr>
        <w:t xml:space="preserve">Theo đề nghị của Tổng cục trưởng Tổng cục Thuế; </w:t>
      </w:r>
    </w:p>
    <w:p w:rsidR="00B25D22" w:rsidRPr="001649E8" w:rsidRDefault="00C43C46" w:rsidP="00F62B25">
      <w:pPr>
        <w:snapToGrid w:val="0"/>
        <w:spacing w:before="120" w:after="120" w:line="240" w:lineRule="auto"/>
        <w:ind w:firstLine="720"/>
        <w:rPr>
          <w:rFonts w:ascii="Times New Roman" w:eastAsia="Times New Roman" w:hAnsi="Times New Roman"/>
          <w:i/>
          <w:color w:val="000000"/>
          <w:sz w:val="28"/>
          <w:szCs w:val="24"/>
        </w:rPr>
      </w:pPr>
      <w:r w:rsidRPr="001649E8">
        <w:rPr>
          <w:rFonts w:ascii="Times New Roman" w:eastAsia="Times New Roman" w:hAnsi="Times New Roman"/>
          <w:i/>
          <w:color w:val="000000"/>
          <w:sz w:val="28"/>
          <w:szCs w:val="24"/>
          <w:lang w:val="vi-VN"/>
        </w:rPr>
        <w:t>Bộ trưởng Bộ Tài chính ban hành Thông tư hướng dẫn về thuế tài nguyên  như sau</w:t>
      </w:r>
      <w:r w:rsidRPr="001649E8">
        <w:rPr>
          <w:rFonts w:ascii="Times New Roman" w:eastAsia="Times New Roman" w:hAnsi="Times New Roman"/>
          <w:i/>
          <w:color w:val="000000"/>
          <w:sz w:val="28"/>
          <w:szCs w:val="24"/>
        </w:rPr>
        <w:t>:</w:t>
      </w:r>
      <w:r w:rsidR="00B80820" w:rsidRPr="001649E8">
        <w:rPr>
          <w:rStyle w:val="FootnoteReference"/>
          <w:rFonts w:ascii="Times New Roman" w:eastAsia="Times New Roman" w:hAnsi="Times New Roman"/>
          <w:i/>
          <w:iCs/>
          <w:sz w:val="28"/>
          <w:szCs w:val="28"/>
          <w:lang w:val="nl-NL"/>
        </w:rPr>
        <w:footnoteReference w:id="1"/>
      </w:r>
    </w:p>
    <w:p w:rsidR="001649E8" w:rsidRPr="001649E8" w:rsidRDefault="001649E8" w:rsidP="00F62B25">
      <w:pPr>
        <w:pStyle w:val="NormalWeb"/>
        <w:shd w:val="clear" w:color="auto" w:fill="FFFFFF"/>
        <w:spacing w:before="0" w:after="0" w:line="240" w:lineRule="auto"/>
        <w:jc w:val="center"/>
        <w:rPr>
          <w:rFonts w:ascii="Times New Roman" w:hAnsi="Times New Roman"/>
          <w:color w:val="000000"/>
          <w:sz w:val="28"/>
          <w:szCs w:val="28"/>
        </w:rPr>
      </w:pPr>
      <w:bookmarkStart w:id="0" w:name="chuong_1"/>
      <w:r w:rsidRPr="001649E8">
        <w:rPr>
          <w:rFonts w:ascii="Times New Roman" w:hAnsi="Times New Roman"/>
          <w:b/>
          <w:bCs/>
          <w:color w:val="000000"/>
          <w:sz w:val="28"/>
          <w:szCs w:val="28"/>
        </w:rPr>
        <w:lastRenderedPageBreak/>
        <w:t>Chương I</w:t>
      </w:r>
      <w:bookmarkEnd w:id="0"/>
    </w:p>
    <w:p w:rsidR="001649E8" w:rsidRDefault="001649E8" w:rsidP="00F62B25">
      <w:pPr>
        <w:pStyle w:val="NormalWeb"/>
        <w:shd w:val="clear" w:color="auto" w:fill="FFFFFF"/>
        <w:spacing w:before="0" w:after="0" w:line="240" w:lineRule="auto"/>
        <w:jc w:val="center"/>
        <w:rPr>
          <w:rFonts w:ascii="Times New Roman" w:hAnsi="Times New Roman"/>
          <w:b/>
          <w:bCs/>
          <w:color w:val="000000"/>
          <w:sz w:val="26"/>
          <w:szCs w:val="26"/>
        </w:rPr>
      </w:pPr>
      <w:bookmarkStart w:id="1" w:name="chuong_1_name"/>
      <w:r w:rsidRPr="001649E8">
        <w:rPr>
          <w:rFonts w:ascii="Times New Roman" w:hAnsi="Times New Roman"/>
          <w:b/>
          <w:bCs/>
          <w:color w:val="000000"/>
          <w:sz w:val="26"/>
          <w:szCs w:val="26"/>
        </w:rPr>
        <w:t>QUY ĐỊNH CHUNG</w:t>
      </w:r>
      <w:bookmarkEnd w:id="1"/>
    </w:p>
    <w:p w:rsidR="00F62B25" w:rsidRPr="00F62B25" w:rsidRDefault="00F62B25" w:rsidP="00F62B25">
      <w:pPr>
        <w:pStyle w:val="NormalWeb"/>
        <w:shd w:val="clear" w:color="auto" w:fill="FFFFFF"/>
        <w:spacing w:before="0" w:after="0" w:line="240" w:lineRule="auto"/>
        <w:jc w:val="center"/>
        <w:rPr>
          <w:rFonts w:ascii="Times New Roman" w:hAnsi="Times New Roman"/>
          <w:color w:val="000000"/>
          <w:sz w:val="16"/>
          <w:szCs w:val="16"/>
        </w:rPr>
      </w:pPr>
    </w:p>
    <w:p w:rsidR="001649E8" w:rsidRPr="001649E8" w:rsidRDefault="001649E8" w:rsidP="00F62B25">
      <w:pPr>
        <w:pStyle w:val="NormalWeb"/>
        <w:shd w:val="clear" w:color="auto" w:fill="FFFFFF"/>
        <w:spacing w:after="120" w:line="240" w:lineRule="auto"/>
        <w:ind w:firstLine="709"/>
        <w:rPr>
          <w:rFonts w:ascii="Times New Roman" w:hAnsi="Times New Roman"/>
          <w:color w:val="000000"/>
          <w:sz w:val="28"/>
          <w:szCs w:val="28"/>
        </w:rPr>
      </w:pPr>
      <w:bookmarkStart w:id="2" w:name="dieu_1"/>
      <w:r w:rsidRPr="001649E8">
        <w:rPr>
          <w:rFonts w:ascii="Times New Roman" w:hAnsi="Times New Roman"/>
          <w:b/>
          <w:bCs/>
          <w:color w:val="000000"/>
          <w:sz w:val="28"/>
          <w:szCs w:val="28"/>
        </w:rPr>
        <w:t>Điều 1. Phạm vi áp dụng</w:t>
      </w:r>
      <w:bookmarkEnd w:id="2"/>
    </w:p>
    <w:p w:rsidR="001649E8" w:rsidRPr="001649E8"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Thông tư này hướng dẫn về đối tượng chịu thuế; Người nộp thuế; Căn cứ tính thuế; Miễn, giảm thuế tài nguyên và tổ chức thực hiện theo các quy định tại Nghị định số 50/2010/NĐ-CP ngày 14 tháng 5 năm 2010 của Chính phủ quy định chi tiết thi hành Luật Thuế tài nguyên số 45/2009/QH12 và một số Điều của Nghị định số 12/2015/NĐ-CP ngày 12/2/2015 của Chính phủ hướng dẫn thi hành Luật sửa đổi, bổ sung một số điều của các Luật Thuế.</w:t>
      </w:r>
    </w:p>
    <w:p w:rsidR="001649E8" w:rsidRPr="001649E8" w:rsidRDefault="001649E8" w:rsidP="00F62B25">
      <w:pPr>
        <w:pStyle w:val="NormalWeb"/>
        <w:shd w:val="clear" w:color="auto" w:fill="FFFFFF"/>
        <w:spacing w:after="120" w:line="240" w:lineRule="auto"/>
        <w:ind w:firstLine="709"/>
        <w:rPr>
          <w:rFonts w:ascii="Times New Roman" w:hAnsi="Times New Roman"/>
          <w:color w:val="000000"/>
          <w:sz w:val="28"/>
          <w:szCs w:val="28"/>
        </w:rPr>
      </w:pPr>
      <w:r w:rsidRPr="001649E8">
        <w:rPr>
          <w:rFonts w:ascii="Times New Roman" w:hAnsi="Times New Roman"/>
          <w:color w:val="000000"/>
          <w:sz w:val="28"/>
          <w:szCs w:val="28"/>
        </w:rPr>
        <w:t>Đối với dầu thô, khí thiên nhiên, khí than thực hiện theo hướng dẫn riêng của Bộ Tài chính.</w:t>
      </w:r>
    </w:p>
    <w:p w:rsidR="001649E8" w:rsidRPr="001649E8" w:rsidRDefault="001649E8" w:rsidP="00F62B25">
      <w:pPr>
        <w:pStyle w:val="NormalWeb"/>
        <w:shd w:val="clear" w:color="auto" w:fill="FFFFFF"/>
        <w:spacing w:after="120" w:line="240" w:lineRule="auto"/>
        <w:ind w:firstLine="709"/>
        <w:rPr>
          <w:rFonts w:ascii="Times New Roman" w:hAnsi="Times New Roman"/>
          <w:color w:val="000000"/>
          <w:sz w:val="28"/>
          <w:szCs w:val="28"/>
        </w:rPr>
      </w:pPr>
      <w:bookmarkStart w:id="3" w:name="dieu_2"/>
      <w:r w:rsidRPr="001649E8">
        <w:rPr>
          <w:rFonts w:ascii="Times New Roman" w:hAnsi="Times New Roman"/>
          <w:b/>
          <w:bCs/>
          <w:color w:val="000000"/>
          <w:sz w:val="28"/>
          <w:szCs w:val="28"/>
        </w:rPr>
        <w:t>Điều 2. Đối tượng chịu thuế</w:t>
      </w:r>
      <w:bookmarkEnd w:id="3"/>
    </w:p>
    <w:p w:rsidR="001649E8" w:rsidRPr="001649E8"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Đối tượng chịu thuế tài nguyên theo quy định tại Thông tư này là các tài nguyên thiên nhiên trong phạm vi đất liền, hải đảo, nội thủy, lãnh hải, vùng tiếp giáp lãnh hải, vùng đặc quyền kinh tế và thềm lục địa thuộc chủ quyền và quyền tài phán của nước Cộng hoà Xã hội chủ nghĩa Việt Nam quy định, bao gồm:</w:t>
      </w:r>
    </w:p>
    <w:p w:rsidR="001649E8" w:rsidRPr="001649E8" w:rsidRDefault="001649E8" w:rsidP="00F62B25">
      <w:pPr>
        <w:pStyle w:val="NormalWeb"/>
        <w:shd w:val="clear" w:color="auto" w:fill="FFFFFF"/>
        <w:spacing w:after="120" w:line="240" w:lineRule="auto"/>
        <w:ind w:firstLine="709"/>
        <w:rPr>
          <w:rFonts w:ascii="Times New Roman" w:hAnsi="Times New Roman"/>
          <w:color w:val="000000"/>
          <w:sz w:val="28"/>
          <w:szCs w:val="28"/>
        </w:rPr>
      </w:pPr>
      <w:r w:rsidRPr="001649E8">
        <w:rPr>
          <w:rFonts w:ascii="Times New Roman" w:hAnsi="Times New Roman"/>
          <w:color w:val="000000"/>
          <w:sz w:val="28"/>
          <w:szCs w:val="28"/>
        </w:rPr>
        <w:t>1. Khoáng sản kim loại.</w:t>
      </w:r>
    </w:p>
    <w:p w:rsidR="001649E8" w:rsidRPr="001649E8" w:rsidRDefault="001649E8" w:rsidP="00F62B25">
      <w:pPr>
        <w:pStyle w:val="NormalWeb"/>
        <w:shd w:val="clear" w:color="auto" w:fill="FFFFFF"/>
        <w:spacing w:after="120" w:line="240" w:lineRule="auto"/>
        <w:ind w:firstLine="709"/>
        <w:rPr>
          <w:rFonts w:ascii="Times New Roman" w:hAnsi="Times New Roman"/>
          <w:color w:val="000000"/>
          <w:sz w:val="28"/>
          <w:szCs w:val="28"/>
        </w:rPr>
      </w:pPr>
      <w:r w:rsidRPr="001649E8">
        <w:rPr>
          <w:rFonts w:ascii="Times New Roman" w:hAnsi="Times New Roman"/>
          <w:color w:val="000000"/>
          <w:sz w:val="28"/>
          <w:szCs w:val="28"/>
        </w:rPr>
        <w:t>2. Khoáng sản không kim loại.</w:t>
      </w:r>
    </w:p>
    <w:p w:rsidR="001649E8" w:rsidRPr="001649E8"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lastRenderedPageBreak/>
        <w:t>3. Sản phẩm của rừng tự nhiên, bao gồm các loại thực vật và các loại sản phẩm khác của rừng tự nhiên, trừ động vật và hồi, quế, sa nhân, thảo quả do người nộp thuế trồng tại khu vực rừng tự nhiên được giao khoanh nuôi, bảo vệ.</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4. Hải sản tự nhiên, gồm động vật và thực vật biển.</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5. Nước thiên nhiên, bao gồm: Nước mặt và nước dưới đất; trừ nước thiên nhiên dùng cho nông nghiệp, lâm nghiệp, ngư nghiệp, diêm nghiệp và nước biển để làm mát máy.</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Nước biển làm mát máy quy định tại khoản này phải đảm bảo các yêu cầu về môi trường, hiệu quả sử dụng nước tuần hoàn và điều kiện kinh tế kỹ thuật chuyên ngành được cơ quan nhà nước có thẩm quyền xác nhận. Trường hợp sử dụng nước biển mà gây ô nhiễm, không đạt các tiêu chuẩn về môi trường thì xử lý theo quy định tại Nghị định số 179/2013/NĐ-CP ngày 14/11/2013 của Chính phủ và các văn bản hướng dẫn thi hành hoặc sửa đổi, bổ sung, thay thế (nếu có).</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6. Yến sào thiên nhiên, trừ yến sào do tổ chức, cá nhân thu được từ hoạt động đầu tư xây dựng nhà để dẫn dụ chim yến tự nhiên về nuôi và khai thác.</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Yến sào do tổ chức, cá nhân đầu tư xây dựng nhà để dẫn dụ chim yến tự nhiên về nuôi và khai thác phải đảm bảo theo quy định tại Thông tư số 35/2013/TT-BNNPTNT ngày 22/7/2013 của Bộ Nông nghiệp và phát triển nông thôn và các văn bản sửa đổi, bổ sung, thay thế (nếu có).</w:t>
      </w:r>
    </w:p>
    <w:p w:rsidR="001649E8" w:rsidRPr="001649E8" w:rsidRDefault="001649E8" w:rsidP="00FE4A65">
      <w:pPr>
        <w:pStyle w:val="NormalWeb"/>
        <w:shd w:val="clear" w:color="auto" w:fill="FFFFFF"/>
        <w:spacing w:after="120" w:line="240" w:lineRule="auto"/>
        <w:ind w:firstLine="709"/>
        <w:jc w:val="both"/>
        <w:rPr>
          <w:rFonts w:ascii="Times New Roman" w:hAnsi="Times New Roman"/>
          <w:color w:val="000000"/>
          <w:sz w:val="28"/>
          <w:szCs w:val="28"/>
        </w:rPr>
      </w:pPr>
      <w:r w:rsidRPr="001649E8">
        <w:rPr>
          <w:rFonts w:ascii="Times New Roman" w:hAnsi="Times New Roman"/>
          <w:color w:val="000000"/>
          <w:sz w:val="28"/>
          <w:szCs w:val="28"/>
        </w:rPr>
        <w:t>7. Tài nguyên thiên nhiên khác do Bộ Tài chính chủ trì phối hợp với các Bộ, ngành liên quan báo cáo Chính phủ để trình Ủy ban thường vụ Quốc hội xem xét, quyết định.</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bookmarkStart w:id="4" w:name="dieu_3"/>
      <w:r w:rsidRPr="002D165A">
        <w:rPr>
          <w:rFonts w:ascii="Times New Roman" w:hAnsi="Times New Roman"/>
          <w:b/>
          <w:bCs/>
          <w:color w:val="000000"/>
          <w:sz w:val="28"/>
          <w:szCs w:val="28"/>
        </w:rPr>
        <w:t>Điều 3. Người nộp thuế</w:t>
      </w:r>
      <w:bookmarkEnd w:id="4"/>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Người nộp thuế tài nguyên là tổ chức, cá nhân khai thác tài nguyên thuộc đối tượng chịu thuế tài nguyên theo quy định tại </w:t>
      </w:r>
      <w:bookmarkStart w:id="5" w:name="tc_1"/>
      <w:r w:rsidRPr="00AC0D6F">
        <w:rPr>
          <w:rFonts w:ascii="Times New Roman" w:hAnsi="Times New Roman"/>
          <w:sz w:val="28"/>
          <w:szCs w:val="28"/>
        </w:rPr>
        <w:t>Điều 2 Thông tư này</w:t>
      </w:r>
      <w:bookmarkEnd w:id="5"/>
      <w:r w:rsidRPr="00AC0D6F">
        <w:rPr>
          <w:rFonts w:ascii="Times New Roman" w:hAnsi="Times New Roman"/>
          <w:sz w:val="28"/>
          <w:szCs w:val="28"/>
        </w:rPr>
        <w:t>.</w:t>
      </w:r>
      <w:r w:rsidRPr="002D165A">
        <w:rPr>
          <w:rFonts w:ascii="Times New Roman" w:hAnsi="Times New Roman"/>
          <w:color w:val="000000"/>
          <w:sz w:val="28"/>
          <w:szCs w:val="28"/>
        </w:rPr>
        <w:t xml:space="preserve"> Người nộp thuế tài nguyên (dưới đây gọi chung là người nộp thuế - NNT) trong một số trường hợp được quy định cụ thể như sau:</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1. Đối với hoạt động khai thác tài nguyên khoáng sản thì người nộp thuế là tổ chức, hộ kinh doanh được cơ quan nhà nước có thẩm quyền cấp Giấy phép khai thác khoáng sản.</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Trường hợp tổ chức được cơ quan nhà nước có thẩm quyền cấp Giấy phép khai thác khoáng sản, được phép hợp tác với tổ chức, cá nhân khai thác tài nguyên và có quy định riêng về người nộp thuế thì người nộp thuế tài nguyên được xác định theo văn bản đó.</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Trường hợp tổ chức được cơ quan nhà nước có thẩm quyền cấp Giấy phép khai thác khoáng sản, sau đó có văn bản giao cho các đơn vị trực thuộc thực hiện khai thác tài nguyên thì mỗi đơn vị khai thác là người nộp thuế tài nguyên.</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2. Doanh nghiệp khai thác tài nguyên được thành lập trên cơ sở liên doanh thì doanh nghiệp liên doanh là người nộp thuế;</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lastRenderedPageBreak/>
        <w:t>Trường hợp Bên Việt Nam và bên nước ngoài cùng tham gia thực hiện hợp đồng hợp tác kinh doanh khai thác tài nguyên thì trách nhiệm nộp thuế của các bên phải được xác định cụ thể trong hợp đồng hợp tác kinh doanh; Nếu trong hợp đồng hợp tác kinh doanh không xác định cụ thể bên có trách nhiệm nộp thuế tài nguyên thì các bên tham gia hợp đồng đều phải kê khai nộp thuế tài nguyên hoặc phải cử ra người đại diện nộp thuế tài nguyên của hợp đồng hợp tác kinh doanh.</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3. Tổ chức, cá nhân nhận thầu thi công công trình trong quá trình thi công có phát sinh sản lượng tài nguyên mà được phép của cơ quan quản lý nhà nước hoặc không trái quy định của pháp luật về quản lý khai thác tài nguyên khi thực hiện khai thác sử dụng hoặc tiêu thụ thì phải khai, nộp thuế tài nguyên với cơ quan thuế địa phương nơi phát sinh tài nguyên khai thác.</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4. Tổ chức, cá nhân sử dụng nước từ công trình thủy lợi để phát điện là người nộp thuế tài nguyên theo quy định tại Thông tư này, không phân biệt nguồn vốn đầu tư công trình thủy lợi.</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Trường hợp tổ chức quản lý công trình thủy lợi cung cấp nước cho tổ chức, cá nhân khác để sản xuất nước sinh hoạt hoặc sử dụng vào các mục đích khác (trừ trường hợp sử dụng nước để phát điện) thì tổ chức quản lý công trình thủy lợi là người nộp thuế.</w:t>
      </w:r>
    </w:p>
    <w:p w:rsidR="00F62B25" w:rsidRPr="00F62B25" w:rsidRDefault="001649E8" w:rsidP="003511AE">
      <w:pPr>
        <w:pStyle w:val="NormalWeb"/>
        <w:shd w:val="clear" w:color="auto" w:fill="FFFFFF"/>
        <w:spacing w:after="120" w:line="240" w:lineRule="auto"/>
        <w:ind w:firstLine="709"/>
        <w:jc w:val="both"/>
        <w:rPr>
          <w:rFonts w:ascii="Times New Roman" w:hAnsi="Times New Roman"/>
          <w:b/>
          <w:bCs/>
          <w:color w:val="000000"/>
          <w:sz w:val="16"/>
          <w:szCs w:val="16"/>
        </w:rPr>
      </w:pPr>
      <w:r w:rsidRPr="002D165A">
        <w:rPr>
          <w:rFonts w:ascii="Times New Roman" w:hAnsi="Times New Roman"/>
          <w:color w:val="000000"/>
          <w:sz w:val="28"/>
          <w:szCs w:val="28"/>
        </w:rPr>
        <w:t>5. Đối với tài nguyên thiên nhiên cấm khai thác hoặc khai thác trái phép bị bắt giữ, tịch thu thuộc đối tượng chịu thuế tài nguyên và được phép bán ra thì tổ chức được giao bán phải khai, nộp thuế tài nguyên theo từng lần phát sinh tại cơ quan thuế quản lý trực tiếp tổ chức được giao bán tài nguyên trước khi trích các khoản chi phí liên quan đến hoạt động bắt giữ, bán đấu giá, trích thưởng theo chế độ quy định.</w:t>
      </w:r>
      <w:bookmarkStart w:id="6" w:name="chuong_2"/>
    </w:p>
    <w:p w:rsidR="001649E8" w:rsidRPr="002D165A" w:rsidRDefault="001649E8" w:rsidP="00F62B25">
      <w:pPr>
        <w:pStyle w:val="NormalWeb"/>
        <w:shd w:val="clear" w:color="auto" w:fill="FFFFFF"/>
        <w:spacing w:before="0" w:after="0" w:line="240" w:lineRule="auto"/>
        <w:jc w:val="center"/>
        <w:rPr>
          <w:rFonts w:ascii="Times New Roman" w:hAnsi="Times New Roman"/>
          <w:color w:val="000000"/>
          <w:sz w:val="28"/>
          <w:szCs w:val="28"/>
        </w:rPr>
      </w:pPr>
      <w:r w:rsidRPr="002D165A">
        <w:rPr>
          <w:rFonts w:ascii="Times New Roman" w:hAnsi="Times New Roman"/>
          <w:b/>
          <w:bCs/>
          <w:color w:val="000000"/>
          <w:sz w:val="28"/>
          <w:szCs w:val="28"/>
        </w:rPr>
        <w:t>Chương II</w:t>
      </w:r>
      <w:bookmarkEnd w:id="6"/>
    </w:p>
    <w:p w:rsidR="001649E8" w:rsidRDefault="001649E8" w:rsidP="00F62B25">
      <w:pPr>
        <w:pStyle w:val="NormalWeb"/>
        <w:shd w:val="clear" w:color="auto" w:fill="FFFFFF"/>
        <w:spacing w:before="0" w:after="0" w:line="240" w:lineRule="auto"/>
        <w:jc w:val="center"/>
        <w:rPr>
          <w:rFonts w:ascii="Times New Roman" w:hAnsi="Times New Roman"/>
          <w:b/>
          <w:bCs/>
          <w:color w:val="000000"/>
          <w:sz w:val="26"/>
          <w:szCs w:val="26"/>
        </w:rPr>
      </w:pPr>
      <w:bookmarkStart w:id="7" w:name="chuong_2_name"/>
      <w:r w:rsidRPr="002D165A">
        <w:rPr>
          <w:rFonts w:ascii="Times New Roman" w:hAnsi="Times New Roman"/>
          <w:b/>
          <w:bCs/>
          <w:color w:val="000000"/>
          <w:sz w:val="26"/>
          <w:szCs w:val="26"/>
        </w:rPr>
        <w:t>CĂN CỨ TÍNH THUẾ TÀI NGUYÊN</w:t>
      </w:r>
      <w:bookmarkEnd w:id="7"/>
    </w:p>
    <w:p w:rsidR="00F62B25" w:rsidRPr="00F62B25" w:rsidRDefault="00F62B25" w:rsidP="00F62B25">
      <w:pPr>
        <w:pStyle w:val="NormalWeb"/>
        <w:shd w:val="clear" w:color="auto" w:fill="FFFFFF"/>
        <w:spacing w:before="0" w:after="0" w:line="240" w:lineRule="auto"/>
        <w:jc w:val="center"/>
        <w:rPr>
          <w:rFonts w:ascii="Times New Roman" w:hAnsi="Times New Roman"/>
          <w:color w:val="000000"/>
          <w:sz w:val="16"/>
          <w:szCs w:val="16"/>
        </w:rPr>
      </w:pP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bookmarkStart w:id="8" w:name="dieu_4"/>
      <w:r w:rsidRPr="002D165A">
        <w:rPr>
          <w:rFonts w:ascii="Times New Roman" w:hAnsi="Times New Roman"/>
          <w:b/>
          <w:bCs/>
          <w:color w:val="000000"/>
          <w:sz w:val="28"/>
          <w:szCs w:val="28"/>
        </w:rPr>
        <w:t>Điều 4. Căn cứ tính thuế</w:t>
      </w:r>
      <w:bookmarkEnd w:id="8"/>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1. Căn cứ tính thuế tài nguyên là sản lượng tài nguyên tính thuế, giá tính thuế tài nguyên, thuế suất thuế tài nguyên.</w:t>
      </w:r>
    </w:p>
    <w:p w:rsidR="001649E8" w:rsidRPr="002D165A"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2. Xác định thuế tài nguyên phải nộp trong kỳ</w:t>
      </w:r>
    </w:p>
    <w:tbl>
      <w:tblPr>
        <w:tblW w:w="4981" w:type="pct"/>
        <w:jc w:val="center"/>
        <w:tblCellSpacing w:w="0" w:type="dxa"/>
        <w:tblInd w:w="170" w:type="dxa"/>
        <w:shd w:val="clear" w:color="auto" w:fill="FFFFFF"/>
        <w:tblCellMar>
          <w:left w:w="0" w:type="dxa"/>
          <w:right w:w="0" w:type="dxa"/>
        </w:tblCellMar>
        <w:tblLook w:val="04A0"/>
      </w:tblPr>
      <w:tblGrid>
        <w:gridCol w:w="1498"/>
        <w:gridCol w:w="571"/>
        <w:gridCol w:w="1838"/>
        <w:gridCol w:w="848"/>
        <w:gridCol w:w="1798"/>
        <w:gridCol w:w="754"/>
        <w:gridCol w:w="1729"/>
      </w:tblGrid>
      <w:tr w:rsidR="002D165A" w:rsidRPr="002D165A" w:rsidTr="002D165A">
        <w:trPr>
          <w:tblCellSpacing w:w="0" w:type="dxa"/>
          <w:jc w:val="center"/>
        </w:trPr>
        <w:tc>
          <w:tcPr>
            <w:tcW w:w="829"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Thuế tài nguyên phải nộp trong kỳ</w:t>
            </w:r>
          </w:p>
        </w:tc>
        <w:tc>
          <w:tcPr>
            <w:tcW w:w="316"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color w:val="000000"/>
                <w:sz w:val="28"/>
                <w:szCs w:val="28"/>
              </w:rPr>
              <w:t>=</w:t>
            </w:r>
          </w:p>
        </w:tc>
        <w:tc>
          <w:tcPr>
            <w:tcW w:w="1017"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Sản lượng tài nguyên tính thuế</w:t>
            </w:r>
          </w:p>
        </w:tc>
        <w:tc>
          <w:tcPr>
            <w:tcW w:w="469"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color w:val="000000"/>
                <w:sz w:val="28"/>
                <w:szCs w:val="28"/>
              </w:rPr>
              <w:t>x</w:t>
            </w:r>
          </w:p>
        </w:tc>
        <w:tc>
          <w:tcPr>
            <w:tcW w:w="995"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Giá tính thuế đơn vị tài nguyên</w:t>
            </w:r>
          </w:p>
        </w:tc>
        <w:tc>
          <w:tcPr>
            <w:tcW w:w="417"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color w:val="000000"/>
                <w:sz w:val="28"/>
                <w:szCs w:val="28"/>
              </w:rPr>
              <w:t>x</w:t>
            </w:r>
          </w:p>
        </w:tc>
        <w:tc>
          <w:tcPr>
            <w:tcW w:w="957"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Thuế suất thuế tài nguyên</w:t>
            </w:r>
          </w:p>
        </w:tc>
      </w:tr>
    </w:tbl>
    <w:p w:rsidR="001649E8" w:rsidRPr="002D165A" w:rsidRDefault="001649E8" w:rsidP="003511AE">
      <w:pPr>
        <w:pStyle w:val="NormalWeb"/>
        <w:shd w:val="clear" w:color="auto" w:fill="FFFFFF"/>
        <w:spacing w:before="60" w:after="60" w:line="240" w:lineRule="auto"/>
        <w:ind w:firstLine="709"/>
        <w:jc w:val="both"/>
        <w:rPr>
          <w:rFonts w:ascii="Times New Roman" w:hAnsi="Times New Roman"/>
          <w:color w:val="000000"/>
          <w:sz w:val="28"/>
          <w:szCs w:val="28"/>
        </w:rPr>
      </w:pPr>
      <w:r w:rsidRPr="002D165A">
        <w:rPr>
          <w:rFonts w:ascii="Times New Roman" w:hAnsi="Times New Roman"/>
          <w:color w:val="000000"/>
          <w:sz w:val="28"/>
          <w:szCs w:val="28"/>
        </w:rPr>
        <w:t>Trường hợp được cơ quan nhà nước ấn định mức thuế tài nguyên phải nộp trên một đơn vị tài nguyên khai thác thì số thuế tài nguyên phải nộp được xác định như sau:</w:t>
      </w:r>
    </w:p>
    <w:tbl>
      <w:tblPr>
        <w:tblW w:w="5000" w:type="pct"/>
        <w:tblCellSpacing w:w="0" w:type="dxa"/>
        <w:shd w:val="clear" w:color="auto" w:fill="FFFFFF"/>
        <w:tblCellMar>
          <w:left w:w="0" w:type="dxa"/>
          <w:right w:w="0" w:type="dxa"/>
        </w:tblCellMar>
        <w:tblLook w:val="04A0"/>
      </w:tblPr>
      <w:tblGrid>
        <w:gridCol w:w="1707"/>
        <w:gridCol w:w="566"/>
        <w:gridCol w:w="1981"/>
        <w:gridCol w:w="707"/>
        <w:gridCol w:w="4109"/>
      </w:tblGrid>
      <w:tr w:rsidR="002D165A" w:rsidRPr="002D165A" w:rsidTr="002D165A">
        <w:trPr>
          <w:tblCellSpacing w:w="0" w:type="dxa"/>
        </w:trPr>
        <w:tc>
          <w:tcPr>
            <w:tcW w:w="941"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Thuế tài nguyên phải nộp trong kỳ</w:t>
            </w:r>
          </w:p>
        </w:tc>
        <w:tc>
          <w:tcPr>
            <w:tcW w:w="312"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color w:val="000000"/>
                <w:sz w:val="28"/>
                <w:szCs w:val="28"/>
              </w:rPr>
              <w:t>=</w:t>
            </w:r>
          </w:p>
        </w:tc>
        <w:tc>
          <w:tcPr>
            <w:tcW w:w="1092"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Sản lượng tài nguyên tính thuế</w:t>
            </w:r>
          </w:p>
        </w:tc>
        <w:tc>
          <w:tcPr>
            <w:tcW w:w="390"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color w:val="000000"/>
                <w:sz w:val="28"/>
                <w:szCs w:val="28"/>
              </w:rPr>
              <w:t>x</w:t>
            </w:r>
          </w:p>
        </w:tc>
        <w:tc>
          <w:tcPr>
            <w:tcW w:w="2265" w:type="pct"/>
            <w:shd w:val="clear" w:color="auto" w:fill="FFFFFF"/>
            <w:vAlign w:val="center"/>
            <w:hideMark/>
          </w:tcPr>
          <w:p w:rsidR="001649E8" w:rsidRPr="002D165A" w:rsidRDefault="001649E8" w:rsidP="003511AE">
            <w:pPr>
              <w:pStyle w:val="NormalWeb"/>
              <w:spacing w:before="60" w:after="60" w:line="240" w:lineRule="auto"/>
              <w:jc w:val="center"/>
              <w:rPr>
                <w:rFonts w:ascii="Times New Roman" w:hAnsi="Times New Roman"/>
                <w:color w:val="000000"/>
                <w:sz w:val="28"/>
                <w:szCs w:val="28"/>
              </w:rPr>
            </w:pPr>
            <w:r w:rsidRPr="002D165A">
              <w:rPr>
                <w:rFonts w:ascii="Times New Roman" w:hAnsi="Times New Roman"/>
                <w:i/>
                <w:iCs/>
                <w:color w:val="000000"/>
                <w:sz w:val="28"/>
                <w:szCs w:val="28"/>
              </w:rPr>
              <w:t>Mức thuế tài nguyên ấn định trên một đơn vị tài nguyên khai thác</w:t>
            </w:r>
          </w:p>
        </w:tc>
      </w:tr>
    </w:tbl>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lastRenderedPageBreak/>
        <w:t>Việc ấn định thuế tài nguyên được thực hiện căn cứ vào cơ sở dữ liệu của cơ quan Thuế, phù hợp với các quy định về ấn định thuế theo quy định của pháp luật về quản lý thuế.</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bookmarkStart w:id="9" w:name="dieu_5"/>
      <w:r w:rsidRPr="00F62B25">
        <w:rPr>
          <w:rFonts w:ascii="Times New Roman" w:hAnsi="Times New Roman"/>
          <w:b/>
          <w:bCs/>
          <w:color w:val="000000"/>
          <w:sz w:val="28"/>
          <w:szCs w:val="28"/>
        </w:rPr>
        <w:t>Điều 5. Sản lượng tài nguyên tính thuế</w:t>
      </w:r>
      <w:bookmarkEnd w:id="9"/>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1. Đối với loại tài nguyên khai thác xác định được số lượng, trọng lượng hoặc khối lượng thì sản lượng tài nguyên tính thuế là số lượng, trọng lượng hoặc khối lượng của tài nguyên thực tế khai thác trong kỳ tính thuế.</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Trường hợp tài nguyên khai thác thu được sản phẩm tài nguyên có nhiều cấp độ, chất lượng, giá trị thương mại khác nhau thì sản lượng tài nguyên tính thuế được xác định theo sản lượng từng loại tài nguyên có cùng cấp độ, chất lượng, giá trị thương mại như nhau hoặc quy ra sản lượng của loại tài nguyên có sản lượng bán ra lớn nhất để làm căn cứ xác định sản lượng tính thuế cho toàn bộ sản lượng tài nguyên khai thác trong kỳ.</w:t>
      </w:r>
    </w:p>
    <w:p w:rsidR="005952A2" w:rsidRPr="00F62B25" w:rsidRDefault="005952A2" w:rsidP="00F62B25">
      <w:pPr>
        <w:pStyle w:val="NormalWeb"/>
        <w:shd w:val="clear" w:color="auto" w:fill="FFFFFF"/>
        <w:spacing w:after="120" w:line="240" w:lineRule="auto"/>
        <w:ind w:firstLine="709"/>
        <w:jc w:val="both"/>
        <w:rPr>
          <w:rFonts w:ascii="Times New Roman" w:hAnsi="Times New Roman"/>
          <w:i/>
          <w:color w:val="000000"/>
          <w:sz w:val="28"/>
          <w:szCs w:val="28"/>
        </w:rPr>
      </w:pPr>
      <w:r w:rsidRPr="00F62B25">
        <w:rPr>
          <w:rFonts w:ascii="Times New Roman" w:hAnsi="Times New Roman"/>
          <w:i/>
          <w:color w:val="000000"/>
          <w:sz w:val="28"/>
          <w:szCs w:val="28"/>
        </w:rPr>
        <w:t>Ví dụ 1</w:t>
      </w:r>
      <w:r w:rsidR="00C17892" w:rsidRPr="00F62B25">
        <w:rPr>
          <w:rStyle w:val="FootnoteReference"/>
          <w:rFonts w:ascii="Times New Roman" w:hAnsi="Times New Roman"/>
          <w:i/>
          <w:color w:val="000000"/>
          <w:sz w:val="28"/>
          <w:szCs w:val="28"/>
        </w:rPr>
        <w:footnoteReference w:id="2"/>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2. Đối với tài nguyên không xác định được số lượng, trọng lượng hoặc khối lượng thực tế của tài nguyên khai thác do chứa nhiều chất, tạp chất khác nhau và được bán ra sau khi sàng tuyển, phân loại thì sản lượng tài nguyên tính thuế được xác định như sau: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a) Đối với tài nguyên sau khi sàng tuyển, phân loại thu được từng chất riêng thì sản lượng tài nguyên tính thuế được xác định theo số lượng, trọng lượng hoặc khối lượng loại tài nguyên hoặc từng chất có trong tài nguyên thu được sau khi sàng tuyển, phân loại.</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Trường hợp đất, đá, phế thải, bã xít thu được qua sàng tuyển mà bán ra thì phải nộp thuế tài nguyên đối với lượng tài nguyên có trong phế thải, bã xít bán ra theo giá bán và thuế suất tương ứng của tài nguyên có trong phế thải, bã xít.</w:t>
      </w:r>
    </w:p>
    <w:p w:rsidR="00C17892" w:rsidRPr="00F62B25" w:rsidRDefault="00C17892"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
          <w:color w:val="000000"/>
          <w:sz w:val="28"/>
          <w:szCs w:val="28"/>
        </w:rPr>
        <w:t>Ví dụ 2</w:t>
      </w:r>
      <w:r w:rsidRPr="00F62B25">
        <w:rPr>
          <w:rStyle w:val="FootnoteReference"/>
          <w:rFonts w:ascii="Times New Roman" w:hAnsi="Times New Roman"/>
          <w:color w:val="000000"/>
          <w:sz w:val="28"/>
          <w:szCs w:val="28"/>
        </w:rPr>
        <w:footnoteReference w:id="3"/>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C17892" w:rsidRPr="00F62B25" w:rsidRDefault="00C17892"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
          <w:color w:val="000000"/>
          <w:sz w:val="28"/>
          <w:szCs w:val="28"/>
        </w:rPr>
        <w:t>Ví dụ 3</w:t>
      </w:r>
      <w:r w:rsidRPr="00F62B25">
        <w:rPr>
          <w:rStyle w:val="FootnoteReference"/>
          <w:rFonts w:ascii="Times New Roman" w:hAnsi="Times New Roman"/>
          <w:color w:val="000000"/>
          <w:sz w:val="28"/>
          <w:szCs w:val="28"/>
        </w:rPr>
        <w:footnoteReference w:id="4"/>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b) Đối với tài nguyên khai thác có chứa nhiều chất khác nhau (quặng đa kim) qua sàng, tuyển, phân loại mà không xác định được sản lượng từng chất có trong tài nguyên khai thác (quặng) thì sản lượng tài nguyên tính thuế được xác định đối với từng chất căn cứ sản lượng tài nguyên thực tế khai thác (quặng) và tỷ lệ của từng chất có trong tài nguyên. Tỷ lệ từng chất có trong tài nguyên được xác định theo mẫu tài nguyên khai thác đã được cơ quan nhà nước có thẩm quyền kiểm định và phê duyệt. Trường hợp, tỷ lệ của từng chất có trong tài </w:t>
      </w:r>
      <w:r w:rsidRPr="00F62B25">
        <w:rPr>
          <w:rFonts w:ascii="Times New Roman" w:hAnsi="Times New Roman"/>
          <w:color w:val="000000"/>
          <w:sz w:val="28"/>
          <w:szCs w:val="28"/>
        </w:rPr>
        <w:lastRenderedPageBreak/>
        <w:t>nguyên khai thác thực tế khác với tỷ lệ từng chất có trong mẫu tài nguyên (quặng) thì sản lượng tính thuế được xác định căn cứ kết quả kiểm định về tỷ lệ từng chất có trong tài nguyên khai thác thực tế của cơ quan nhà nước có thẩm quyền.</w:t>
      </w:r>
    </w:p>
    <w:p w:rsidR="00C17892" w:rsidRPr="00F62B25" w:rsidRDefault="00C17892"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
          <w:color w:val="000000"/>
          <w:sz w:val="28"/>
          <w:szCs w:val="28"/>
        </w:rPr>
        <w:t>Ví dụ 4</w:t>
      </w:r>
      <w:r w:rsidRPr="00F62B25">
        <w:rPr>
          <w:rStyle w:val="FootnoteReference"/>
          <w:rFonts w:ascii="Times New Roman" w:hAnsi="Times New Roman"/>
          <w:i/>
          <w:color w:val="000000"/>
          <w:sz w:val="28"/>
          <w:szCs w:val="28"/>
        </w:rPr>
        <w:footnoteReference w:id="5"/>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3. Đối với tài nguyên khai thác không bán ra mà phải qua sản xuất, chế biến mới bán ra (tiêu thụ trong nước hoặc xuất khẩu) thì sản lượng tài nguyên tính thuế được xác định như sau: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Đối với tài nguyên khai thác không bán ra mà phải qua sản xuất, chế biến mới bán ra (tiêu thụ trong nước hoặc xuất khẩu) thì sản lượng tài nguyên tính thuế là sản lượng tài nguyên khai thác được xác định bằng cách quy đổi từ sản lượng sản phẩm sản xuất trong kỳ để bán ra theo định mức sử dụng tài nguyên tính trên một đơn vị sản phẩm. Định mức sử dụng tài nguyên tính trên một đơn vị sản phẩm do NNT kê khai căn cứ dự án được cấp có thẩm quyền phê duyệt, tiêu chuẩn công nghệ thiết kế để sản xuất sản phẩm đang ứng dụng, trong đó:</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Trường hợp sản phẩm bán ra là sản phẩm tài nguyên thì căn cứ định mức sử dụng tài nguyên tính trên một đơn vị sản phẩm tài nguyên sản xuất bán ra.</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Trường hợp sản phẩm bán ra là sản phẩm công nghiệp thì căn</w:t>
      </w:r>
      <w:r w:rsidR="00EC3C74">
        <w:rPr>
          <w:rFonts w:ascii="Times New Roman" w:hAnsi="Times New Roman"/>
          <w:color w:val="000000"/>
          <w:sz w:val="28"/>
          <w:szCs w:val="28"/>
        </w:rPr>
        <w:t xml:space="preserve"> cứ</w:t>
      </w:r>
      <w:r w:rsidRPr="00F62B25">
        <w:rPr>
          <w:rFonts w:ascii="Times New Roman" w:hAnsi="Times New Roman"/>
          <w:color w:val="000000"/>
          <w:sz w:val="28"/>
          <w:szCs w:val="28"/>
        </w:rPr>
        <w:t xml:space="preserve"> định mức sử dụng tài nguyên tính trên một đơn vị sản phẩm công nghiệp sản xuất bán ra.</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Việc xác định sản phẩm bán ra sau quá trình chế biến là sản phẩm công nghiệp hay không phải sản phẩm công nghiệp do Bộ quản lý nhà nước chuyên ngành thực hiện theo thẩm quyền.</w:t>
      </w:r>
    </w:p>
    <w:p w:rsidR="00C17892" w:rsidRPr="00F62B25" w:rsidRDefault="00C17892" w:rsidP="00F62B25">
      <w:pPr>
        <w:pStyle w:val="NormalWeb"/>
        <w:shd w:val="clear" w:color="auto" w:fill="FFFFFF"/>
        <w:spacing w:after="120" w:line="240" w:lineRule="auto"/>
        <w:ind w:firstLine="709"/>
        <w:jc w:val="both"/>
        <w:rPr>
          <w:rFonts w:ascii="Times New Roman" w:hAnsi="Times New Roman"/>
          <w:i/>
          <w:color w:val="000000"/>
          <w:sz w:val="28"/>
          <w:szCs w:val="28"/>
        </w:rPr>
      </w:pPr>
      <w:r w:rsidRPr="00F62B25">
        <w:rPr>
          <w:rFonts w:ascii="Times New Roman" w:hAnsi="Times New Roman"/>
          <w:i/>
          <w:color w:val="000000"/>
          <w:sz w:val="28"/>
          <w:szCs w:val="28"/>
        </w:rPr>
        <w:t>Ví dụ 5</w:t>
      </w:r>
      <w:r w:rsidRPr="00F62B25">
        <w:rPr>
          <w:rStyle w:val="FootnoteReference"/>
          <w:rFonts w:ascii="Times New Roman" w:hAnsi="Times New Roman"/>
          <w:i/>
          <w:color w:val="000000"/>
          <w:sz w:val="28"/>
          <w:szCs w:val="28"/>
        </w:rPr>
        <w:footnoteReference w:id="6"/>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C17892" w:rsidRPr="00F62B25" w:rsidRDefault="00C17892" w:rsidP="00F62B25">
      <w:pPr>
        <w:pStyle w:val="NormalWeb"/>
        <w:shd w:val="clear" w:color="auto" w:fill="FFFFFF"/>
        <w:spacing w:after="120" w:line="240" w:lineRule="auto"/>
        <w:ind w:firstLine="709"/>
        <w:jc w:val="both"/>
        <w:rPr>
          <w:rFonts w:ascii="Times New Roman" w:hAnsi="Times New Roman"/>
          <w:i/>
          <w:color w:val="000000"/>
          <w:sz w:val="28"/>
          <w:szCs w:val="28"/>
        </w:rPr>
      </w:pPr>
      <w:r w:rsidRPr="00F62B25">
        <w:rPr>
          <w:rFonts w:ascii="Times New Roman" w:hAnsi="Times New Roman"/>
          <w:i/>
          <w:color w:val="000000"/>
          <w:sz w:val="28"/>
          <w:szCs w:val="28"/>
        </w:rPr>
        <w:t>Ví dụ 6</w:t>
      </w:r>
      <w:r w:rsidRPr="00F62B25">
        <w:rPr>
          <w:rStyle w:val="FootnoteReference"/>
          <w:rFonts w:ascii="Times New Roman" w:hAnsi="Times New Roman"/>
          <w:i/>
          <w:color w:val="000000"/>
          <w:sz w:val="28"/>
          <w:szCs w:val="28"/>
        </w:rPr>
        <w:footnoteReference w:id="7"/>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C17892" w:rsidRPr="00F62B25" w:rsidRDefault="00C17892"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
          <w:color w:val="000000"/>
          <w:sz w:val="28"/>
          <w:szCs w:val="28"/>
        </w:rPr>
        <w:t>Ví dụ 7</w:t>
      </w:r>
      <w:r w:rsidRPr="00F62B25">
        <w:rPr>
          <w:rStyle w:val="FootnoteReference"/>
          <w:rFonts w:ascii="Times New Roman" w:hAnsi="Times New Roman"/>
          <w:i/>
          <w:color w:val="000000"/>
          <w:sz w:val="28"/>
          <w:szCs w:val="28"/>
        </w:rPr>
        <w:footnoteReference w:id="8"/>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4. Đối với nước thiên nhiên dùng cho sản xuất thủy điện thì sản lượng tài nguyên tính thuế là sản lượng điện của cơ sở sản xuất điện bán cho bên mua điện theo hợp đồng mua bán điện hoặc sản lượng điện giao nhận trong trường hợp không có hợp đồng mua bán điện được xác định theo hệ thống đo đếm đạt tiêu chuẩn đo lường chất lượng Việt Nam, có xác nhận của bên mua, bên bán hoặc bên giao, bên nhận.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5. Đối với nước khoáng thiên nhiên, nước nóng thiên nhiên, nước thiên nhiên tinh lọc đóng chai, đóng hộp, nước thiên nhiên dùng cho sản xuất, kinh </w:t>
      </w:r>
      <w:r w:rsidRPr="00F62B25">
        <w:rPr>
          <w:rFonts w:ascii="Times New Roman" w:hAnsi="Times New Roman"/>
          <w:color w:val="000000"/>
          <w:sz w:val="28"/>
          <w:szCs w:val="28"/>
        </w:rPr>
        <w:lastRenderedPageBreak/>
        <w:t>doanh thì sản lượng tài nguyên tính thuế được xác định bằng mét khối (m</w:t>
      </w:r>
      <w:r w:rsidRPr="00F62B25">
        <w:rPr>
          <w:rFonts w:ascii="Times New Roman" w:hAnsi="Times New Roman"/>
          <w:color w:val="000000"/>
          <w:sz w:val="28"/>
          <w:szCs w:val="28"/>
          <w:vertAlign w:val="superscript"/>
        </w:rPr>
        <w:t>3</w:t>
      </w:r>
      <w:r w:rsidRPr="00F62B25">
        <w:rPr>
          <w:rFonts w:ascii="Times New Roman" w:hAnsi="Times New Roman"/>
          <w:color w:val="000000"/>
          <w:sz w:val="28"/>
          <w:szCs w:val="28"/>
        </w:rPr>
        <w:t>) hoặc lít (l) theo hệ thống đo đếm đạt tiêu chuẩn đo lường chất lượng Việt Nam.</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Người nộp thuế phải lắp đặt thiết bị đo đếm sản lượng nước khoáng thiên nhiên, nước nóng thiên nhiên, nước thiên nhiên khai thác để làm căn cứ tính thuế. Thiết bị lắp đặt phải có giấy kiểm định của cơ quan quản lý đo lường chất lượng tiêu chuẩn Việt Nam và thông báo lần đầu với cơ quan thuế kèm theo hồ sơ khai thuế tài nguyên trong kỳ khai thuế gần nhất kể từ ngày lắp đặt xong thiết bị.</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Trường hợp do điều kiện khách quan không thể lắp đặt được thiết bị đo đếm sản lượng nước khai thác sử dụng và không trực tiếp xác định được sản lượng tính thuế thì thực hiện khoán sản lượng tài nguyên khai thác theo kỳ tính thuế. Cơ quan thuế phối hợp với cơ quan có liên quan ở địa phương xác định sản lượng tài nguyên khai thác được khoán để tính thuế tài nguyên theo quy định tại Thông tư này.</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6. Cơ chế phối hợp giữa Cơ quan thuế, Cơ quan </w:t>
      </w:r>
      <w:r w:rsidR="00794FD5">
        <w:rPr>
          <w:rFonts w:ascii="Times New Roman" w:hAnsi="Times New Roman"/>
          <w:color w:val="000000"/>
          <w:sz w:val="28"/>
          <w:szCs w:val="28"/>
        </w:rPr>
        <w:t>n</w:t>
      </w:r>
      <w:r w:rsidR="008D6B79">
        <w:rPr>
          <w:rFonts w:ascii="Times New Roman" w:hAnsi="Times New Roman"/>
          <w:color w:val="000000"/>
          <w:sz w:val="28"/>
          <w:szCs w:val="28"/>
        </w:rPr>
        <w:t>ông nghiệp</w:t>
      </w:r>
      <w:r w:rsidRPr="00F62B25">
        <w:rPr>
          <w:rFonts w:ascii="Times New Roman" w:hAnsi="Times New Roman"/>
          <w:color w:val="000000"/>
          <w:sz w:val="28"/>
          <w:szCs w:val="28"/>
        </w:rPr>
        <w:t xml:space="preserve"> và môi trường</w:t>
      </w:r>
      <w:r w:rsidR="00BE4B6E">
        <w:rPr>
          <w:rStyle w:val="FootnoteReference"/>
          <w:rFonts w:ascii="Times New Roman" w:hAnsi="Times New Roman"/>
          <w:color w:val="000000"/>
          <w:sz w:val="28"/>
          <w:szCs w:val="28"/>
        </w:rPr>
        <w:footnoteReference w:id="9"/>
      </w:r>
      <w:r w:rsidRPr="00F62B25">
        <w:rPr>
          <w:rFonts w:ascii="Times New Roman" w:hAnsi="Times New Roman"/>
          <w:color w:val="000000"/>
          <w:sz w:val="28"/>
          <w:szCs w:val="28"/>
        </w:rPr>
        <w:t xml:space="preserve"> để quản lý hoạt động khai thác tài nguyên tại địa phương như sau: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Căn cứ kê khai của NNT về sản lượng tài nguyên thực tế khai thác trong năm theo từng mỏ tại Bảng kê được nộp cùng với Tờ khai quyết toán thuế tài nguyên khi kết thúc năm tài chính, trong vòng 05 ngày làm việc, cơ quan thuế có trách nhiệm chuyển cơ quan </w:t>
      </w:r>
      <w:r w:rsidR="00794FD5">
        <w:rPr>
          <w:rFonts w:ascii="Times New Roman" w:hAnsi="Times New Roman"/>
          <w:color w:val="000000"/>
          <w:sz w:val="28"/>
          <w:szCs w:val="28"/>
        </w:rPr>
        <w:t>n</w:t>
      </w:r>
      <w:r w:rsidR="008D6B79">
        <w:rPr>
          <w:rFonts w:ascii="Times New Roman" w:hAnsi="Times New Roman"/>
          <w:color w:val="000000"/>
          <w:sz w:val="28"/>
          <w:szCs w:val="28"/>
        </w:rPr>
        <w:t>ông nghiệp</w:t>
      </w:r>
      <w:r w:rsidR="008D6B79" w:rsidRPr="00F62B25">
        <w:rPr>
          <w:rFonts w:ascii="Times New Roman" w:hAnsi="Times New Roman"/>
          <w:color w:val="000000"/>
          <w:sz w:val="28"/>
          <w:szCs w:val="28"/>
        </w:rPr>
        <w:t xml:space="preserve"> </w:t>
      </w:r>
      <w:r w:rsidR="00794FD5">
        <w:rPr>
          <w:rFonts w:ascii="Times New Roman" w:hAnsi="Times New Roman"/>
          <w:color w:val="000000"/>
          <w:sz w:val="28"/>
          <w:szCs w:val="28"/>
        </w:rPr>
        <w:t>và m</w:t>
      </w:r>
      <w:r w:rsidRPr="00F62B25">
        <w:rPr>
          <w:rFonts w:ascii="Times New Roman" w:hAnsi="Times New Roman"/>
          <w:color w:val="000000"/>
          <w:sz w:val="28"/>
          <w:szCs w:val="28"/>
        </w:rPr>
        <w:t>ôi trường</w:t>
      </w:r>
      <w:r w:rsidR="00BE4B6E">
        <w:rPr>
          <w:rStyle w:val="FootnoteReference"/>
          <w:rFonts w:ascii="Times New Roman" w:hAnsi="Times New Roman"/>
          <w:color w:val="000000"/>
          <w:sz w:val="28"/>
          <w:szCs w:val="28"/>
        </w:rPr>
        <w:footnoteReference w:id="10"/>
      </w:r>
      <w:r w:rsidRPr="00F62B25">
        <w:rPr>
          <w:rFonts w:ascii="Times New Roman" w:hAnsi="Times New Roman"/>
          <w:color w:val="000000"/>
          <w:sz w:val="28"/>
          <w:szCs w:val="28"/>
        </w:rPr>
        <w:t xml:space="preserve"> thông tin chi tiết về sản lượng khai thác tài nguyên trong năm theo từng mỏ của các đơn vị trong địa bàn.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Cơ quan </w:t>
      </w:r>
      <w:r w:rsidR="00794FD5">
        <w:rPr>
          <w:rFonts w:ascii="Times New Roman" w:hAnsi="Times New Roman"/>
          <w:color w:val="000000"/>
          <w:sz w:val="28"/>
          <w:szCs w:val="28"/>
        </w:rPr>
        <w:t>n</w:t>
      </w:r>
      <w:r w:rsidR="008D6B79">
        <w:rPr>
          <w:rFonts w:ascii="Times New Roman" w:hAnsi="Times New Roman"/>
          <w:color w:val="000000"/>
          <w:sz w:val="28"/>
          <w:szCs w:val="28"/>
        </w:rPr>
        <w:t>ông nghiệp</w:t>
      </w:r>
      <w:r w:rsidR="008D6B79" w:rsidRPr="00F62B25">
        <w:rPr>
          <w:rFonts w:ascii="Times New Roman" w:hAnsi="Times New Roman"/>
          <w:color w:val="000000"/>
          <w:sz w:val="28"/>
          <w:szCs w:val="28"/>
        </w:rPr>
        <w:t xml:space="preserve"> </w:t>
      </w:r>
      <w:r w:rsidR="00794FD5">
        <w:rPr>
          <w:rFonts w:ascii="Times New Roman" w:hAnsi="Times New Roman"/>
          <w:color w:val="000000"/>
          <w:sz w:val="28"/>
          <w:szCs w:val="28"/>
        </w:rPr>
        <w:t>và m</w:t>
      </w:r>
      <w:r w:rsidRPr="00F62B25">
        <w:rPr>
          <w:rFonts w:ascii="Times New Roman" w:hAnsi="Times New Roman"/>
          <w:color w:val="000000"/>
          <w:sz w:val="28"/>
          <w:szCs w:val="28"/>
        </w:rPr>
        <w:t>ôi trường</w:t>
      </w:r>
      <w:r w:rsidR="00BE4B6E">
        <w:rPr>
          <w:rStyle w:val="FootnoteReference"/>
          <w:rFonts w:ascii="Times New Roman" w:hAnsi="Times New Roman"/>
          <w:color w:val="000000"/>
          <w:sz w:val="28"/>
          <w:szCs w:val="28"/>
        </w:rPr>
        <w:footnoteReference w:id="11"/>
      </w:r>
      <w:r w:rsidRPr="00F62B25">
        <w:rPr>
          <w:rFonts w:ascii="Times New Roman" w:hAnsi="Times New Roman"/>
          <w:color w:val="000000"/>
          <w:sz w:val="28"/>
          <w:szCs w:val="28"/>
        </w:rPr>
        <w:t xml:space="preserve"> có trách nhiệm đối chiếu sản lượng tài nguyên đã khai thác tại từng mỏ do đơn vị khai thác khai, nộp thuế với dữ liệu đã có tại cơ quan </w:t>
      </w:r>
      <w:r w:rsidR="008D6B79">
        <w:rPr>
          <w:rFonts w:ascii="Times New Roman" w:hAnsi="Times New Roman"/>
          <w:color w:val="000000"/>
          <w:sz w:val="28"/>
          <w:szCs w:val="28"/>
        </w:rPr>
        <w:t>nông nghiệp</w:t>
      </w:r>
      <w:r w:rsidRPr="00F62B25">
        <w:rPr>
          <w:rFonts w:ascii="Times New Roman" w:hAnsi="Times New Roman"/>
          <w:color w:val="000000"/>
          <w:sz w:val="28"/>
          <w:szCs w:val="28"/>
        </w:rPr>
        <w:t xml:space="preserve"> và môi trường</w:t>
      </w:r>
      <w:r w:rsidR="00BE4B6E">
        <w:rPr>
          <w:rStyle w:val="FootnoteReference"/>
          <w:rFonts w:ascii="Times New Roman" w:hAnsi="Times New Roman"/>
          <w:color w:val="000000"/>
          <w:sz w:val="28"/>
          <w:szCs w:val="28"/>
        </w:rPr>
        <w:footnoteReference w:id="12"/>
      </w:r>
      <w:r w:rsidRPr="00F62B25">
        <w:rPr>
          <w:rFonts w:ascii="Times New Roman" w:hAnsi="Times New Roman"/>
          <w:color w:val="000000"/>
          <w:sz w:val="28"/>
          <w:szCs w:val="28"/>
        </w:rPr>
        <w:t xml:space="preserve">; Trường hợp sản lượng khai thuế không phù hợp sản lượng được phép khai thác ghi trên Giấy phép khai thác hoặc có dấu hiệu vi phạm pháp luật thì cơ quan </w:t>
      </w:r>
      <w:r w:rsidR="00794FD5">
        <w:rPr>
          <w:rFonts w:ascii="Times New Roman" w:hAnsi="Times New Roman"/>
          <w:color w:val="000000"/>
          <w:sz w:val="28"/>
          <w:szCs w:val="28"/>
        </w:rPr>
        <w:t>n</w:t>
      </w:r>
      <w:r w:rsidR="008D6B79">
        <w:rPr>
          <w:rFonts w:ascii="Times New Roman" w:hAnsi="Times New Roman"/>
          <w:color w:val="000000"/>
          <w:sz w:val="28"/>
          <w:szCs w:val="28"/>
        </w:rPr>
        <w:t>ông nghiệp</w:t>
      </w:r>
      <w:r w:rsidR="008D6B79" w:rsidRPr="00F62B25">
        <w:rPr>
          <w:rFonts w:ascii="Times New Roman" w:hAnsi="Times New Roman"/>
          <w:color w:val="000000"/>
          <w:sz w:val="28"/>
          <w:szCs w:val="28"/>
        </w:rPr>
        <w:t xml:space="preserve"> </w:t>
      </w:r>
      <w:r w:rsidRPr="00F62B25">
        <w:rPr>
          <w:rFonts w:ascii="Times New Roman" w:hAnsi="Times New Roman"/>
          <w:color w:val="000000"/>
          <w:sz w:val="28"/>
          <w:szCs w:val="28"/>
        </w:rPr>
        <w:t>và môi trường</w:t>
      </w:r>
      <w:r w:rsidR="00BE4B6E">
        <w:rPr>
          <w:rStyle w:val="FootnoteReference"/>
          <w:rFonts w:ascii="Times New Roman" w:hAnsi="Times New Roman"/>
          <w:color w:val="000000"/>
          <w:sz w:val="28"/>
          <w:szCs w:val="28"/>
        </w:rPr>
        <w:footnoteReference w:id="13"/>
      </w:r>
      <w:r w:rsidRPr="00F62B25">
        <w:rPr>
          <w:rFonts w:ascii="Times New Roman" w:hAnsi="Times New Roman"/>
          <w:color w:val="000000"/>
          <w:sz w:val="28"/>
          <w:szCs w:val="28"/>
        </w:rPr>
        <w:t xml:space="preserve"> sẽ thực hiện các biện pháp nghiệp vụ để xác định sản lượng khai thác thực tế của đơn vị.</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Trong vòng 07 ngày làm việc kể từ ngày nhận được thông tin do cơ quan thuế chuyển đến, Cơ quan </w:t>
      </w:r>
      <w:r w:rsidR="00794FD5">
        <w:rPr>
          <w:rFonts w:ascii="Times New Roman" w:hAnsi="Times New Roman"/>
          <w:color w:val="000000"/>
          <w:sz w:val="28"/>
          <w:szCs w:val="28"/>
        </w:rPr>
        <w:t>n</w:t>
      </w:r>
      <w:r w:rsidR="008D6B79">
        <w:rPr>
          <w:rFonts w:ascii="Times New Roman" w:hAnsi="Times New Roman"/>
          <w:color w:val="000000"/>
          <w:sz w:val="28"/>
          <w:szCs w:val="28"/>
        </w:rPr>
        <w:t>ông nghiệp</w:t>
      </w:r>
      <w:r w:rsidR="008D6B79" w:rsidRPr="00F62B25">
        <w:rPr>
          <w:rFonts w:ascii="Times New Roman" w:hAnsi="Times New Roman"/>
          <w:color w:val="000000"/>
          <w:sz w:val="28"/>
          <w:szCs w:val="28"/>
        </w:rPr>
        <w:t xml:space="preserve"> </w:t>
      </w:r>
      <w:r w:rsidR="00794FD5">
        <w:rPr>
          <w:rFonts w:ascii="Times New Roman" w:hAnsi="Times New Roman"/>
          <w:color w:val="000000"/>
          <w:sz w:val="28"/>
          <w:szCs w:val="28"/>
        </w:rPr>
        <w:t>và m</w:t>
      </w:r>
      <w:r w:rsidRPr="00F62B25">
        <w:rPr>
          <w:rFonts w:ascii="Times New Roman" w:hAnsi="Times New Roman"/>
          <w:color w:val="000000"/>
          <w:sz w:val="28"/>
          <w:szCs w:val="28"/>
        </w:rPr>
        <w:t>ôi trường</w:t>
      </w:r>
      <w:r w:rsidR="00BE4B6E">
        <w:rPr>
          <w:rStyle w:val="FootnoteReference"/>
          <w:rFonts w:ascii="Times New Roman" w:hAnsi="Times New Roman"/>
          <w:color w:val="000000"/>
          <w:sz w:val="28"/>
          <w:szCs w:val="28"/>
        </w:rPr>
        <w:footnoteReference w:id="14"/>
      </w:r>
      <w:r w:rsidRPr="00F62B25">
        <w:rPr>
          <w:rFonts w:ascii="Times New Roman" w:hAnsi="Times New Roman"/>
          <w:color w:val="000000"/>
          <w:sz w:val="28"/>
          <w:szCs w:val="28"/>
        </w:rPr>
        <w:t xml:space="preserve"> có trách nhiệm chuyển thông tin cho cơ quan thuế để xử lý theo quy định của Luật Quản lý thuế.</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lastRenderedPageBreak/>
        <w:t>7. Trường hợp trên địa bàn có doanh nghiệp khai thác, xuất khẩu sản phẩm tài nguyên, cơ quan thuế thực hiện xác định sản lượng sản phẩm tài nguyên thực tế xuất khẩu trên Tờ khai Hải quan theo cơ chế trao đổi thông tin tại Quyết định số 574 QĐ/BTC ngày 30/3/2015 của Bộ Tài chính để quy đổi ra sản lượng sản phẩm tài nguyên sản xuất và thực hiện đối chiếu với sản lượng tài nguyên trên Tờ khai quyết toán thuế tài nguyên của doanh nghiệp. Trường hợp phát sinh chênh lệch sản lượng tài nguyên tính thuế mà doanh nghiệp đã kê khai, nộp thuế có dấu hiệu vi phạm pháp luật thì cơ quan thuế áp dụng các biện pháp kiểm tra, thanh tra phù hợp theo quy định của Luật Quản lý Thuế để tính, thu đủ thuế tài nguyên và xử lý vi phạm theo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Sản lượng tài nguyên khai thác tăng thêm qua kiểm tra, thanh tra phải chịu thuế tài nguyên theo mức thuế suất và giá tính thuế tài nguyên quy định tại thời điểm phát sinh sản lượng tài nguyên khai thác; Trường hợp không xác định được sản lượng tài nguyên khai thác tăng thêm phát sinh thuộc kỳ kê khai thuế cụ thể nào thì áp dụng mức thuế suất và giá tính thuế tài nguyên do pháp luật quy định tại thời điểm kết thúc năm khai thác tài nguyên.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bookmarkStart w:id="10" w:name="dieu_6"/>
      <w:r w:rsidRPr="00F62B25">
        <w:rPr>
          <w:rFonts w:ascii="Times New Roman" w:hAnsi="Times New Roman"/>
          <w:b/>
          <w:bCs/>
          <w:color w:val="000000"/>
          <w:sz w:val="28"/>
          <w:szCs w:val="28"/>
        </w:rPr>
        <w:t>Điều 6. Giá tính thuế tài nguyên</w:t>
      </w:r>
      <w:bookmarkEnd w:id="10"/>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Giá tính thuế tài nguyên là giá bán đơn vị sản phẩm tài nguyên của tổ chức, cá nhân khai thác chưa bao gồm thuế giá trị gia tăng nhưng không được thấp hơn giá tính thuế tài nguyên do UBND cấp tỉnh quy định; Trường hợp giá bán đơn vị sản phẩm tài nguyên thấp hơn giá tính thuế tài nguyên do UBND cấp tỉnh quy định thì tính thuế tài nguyên theo giá do UBND cấp tỉnh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Trường hợp sản phẩm tài nguyên được vận chuyển đi tiêu thụ, trong đó chi phí vận chuyển, giá bán sản phẩm tài nguyên được ghi nhận riêng trên hóa đơn thì giá tính thuế tài nguyên là giá bán sản phẩm tài nguyên không bao gồm chi phí vận chuyển.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1. Đối với loại tài nguyên xác định được giá bán đơn vị sản phẩm tài nguyên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Giá tính thuế tài nguyên là giá bán đơn vị sản phẩm tài nguyên có cùng phẩm cấp, chất lượng chưa bao gồm thuế giá trị gia tăng và được áp dụng cho toàn bộ sản lượng tài nguyên khai thác trong tháng; Giá bán của một đơn vị tài nguyên được tính bằng tổng doanh thu (chưa có thuế GTGT) của loại tài nguyên bán ra chia cho tổng sản lượng tài nguyên tương ứng bán ra trong tháng.</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Trường hợp trong tháng có khai thác tài nguyên nhưng không phát sinh doanh thu bán tài nguyên thì giá tính thuế tài nguyên là giá tính thuế đơn vị tài nguyên bình quân gia quyền của tháng trước gần nhất có doanh thu; nếu giá tính thuế đơn vị tài nguyên bình quân gia quyền của tháng trước gần nhất có doanh thu thấp hơn giá tính thuế tài nguyên do UBND cấp tỉnh quy định thì áp dụng giá tính thuế tài nguyên do UBND cấp tỉnh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 xml:space="preserve">Trường hợp các tổ chức là pháp nhân khai thác tài nguyên cho Tập đoàn, Tổng công ty để tập trung một đầu mối tiêu thụ theo hợp đồng thỏa thuận giữa các bên hoặc bán ra theo giá do Tổng công ty, Tập đoàn quyết định thì giá tính </w:t>
      </w:r>
      <w:r w:rsidRPr="00F62B25">
        <w:rPr>
          <w:rFonts w:ascii="Times New Roman" w:hAnsi="Times New Roman"/>
          <w:color w:val="000000"/>
          <w:sz w:val="28"/>
          <w:szCs w:val="28"/>
        </w:rPr>
        <w:lastRenderedPageBreak/>
        <w:t>thuế tài nguyên là giá do Tổng công ty, Tập đoàn quyết định nhưng không được thấp hơn giá do UBND cấp tỉnh tại địa phương nơi khai thác tài nguyên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2. Đối với loại tài nguyên không xác định được giá bán đơn vị tài nguyên khai thác do có chứa nhiều chất khác nhau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Giá tính thuế là giá bán đơn vị tài nguyên của từng chất, được xác định căn cứ tổng doanh thu bán tài nguyên trong tháng (chưa có thuế GTGT) tính cho từng chất có trong tài nguyên khai thác theo tỷ lệ hàm lượng của từng chất đã được cơ quan nhà nước có thẩm quyền kiểm phê duyệt và sản lượng tài nguyên bán ra ghi trên chứng từ bán hàng tương ứng với từng chất.</w:t>
      </w:r>
    </w:p>
    <w:p w:rsidR="00C17892" w:rsidRPr="00F62B25" w:rsidRDefault="00C17892"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
          <w:color w:val="000000"/>
          <w:sz w:val="28"/>
          <w:szCs w:val="28"/>
        </w:rPr>
        <w:t>Ví dụ 8</w:t>
      </w:r>
      <w:r w:rsidRPr="00F62B25">
        <w:rPr>
          <w:rStyle w:val="FootnoteReference"/>
          <w:rFonts w:ascii="Times New Roman" w:hAnsi="Times New Roman"/>
          <w:i/>
          <w:color w:val="000000"/>
          <w:sz w:val="28"/>
          <w:szCs w:val="28"/>
        </w:rPr>
        <w:footnoteReference w:id="15"/>
      </w:r>
      <w:r w:rsidR="00214BF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3. Đối với tài nguyên khai thác không bán ra mà phải qua sản xuất, chế biến mới bán ra (bán trong nước hoặc xuất khẩu)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a) Trường hợp bán ra sản phẩm tài nguyên thì giá tính thuế là giá bán đơn vị sản phẩm tài nguyên (trường hợp bán trong nước) tương ứng với sản lượng tài nguyên bán ra ghi trên chứng từ bán hàng hoặc trị giá hải quan của sản phẩm tài nguyên xuất khẩu (trường hợp xuất khẩu) không bao gồm thuế xuất khẩu tương ứng với sản lượng tài nguyên xuất khẩu ghi trên chứng từ xuất khẩu nhưng không thấp hơn giá tính thuế do UBND cấp tỉnh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Trị giá hải quan của sản phẩm tài nguyên xuất khẩu thực hiện theo quy định về trị giá hải quan đối với hàng hóa xuất khẩu tại Luật Hải quan và các văn bản hướng dẫn thi hành và sửa đổi, bổ sung (nếu có).</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b)</w:t>
      </w:r>
      <w:r w:rsidR="00F83012" w:rsidRPr="00F62B25">
        <w:rPr>
          <w:rStyle w:val="FootnoteReference"/>
          <w:rFonts w:ascii="Times New Roman" w:hAnsi="Times New Roman"/>
          <w:color w:val="000000"/>
          <w:sz w:val="28"/>
          <w:szCs w:val="28"/>
        </w:rPr>
        <w:footnoteReference w:id="16"/>
      </w:r>
      <w:r w:rsidRPr="00F62B25">
        <w:rPr>
          <w:rFonts w:ascii="Times New Roman" w:hAnsi="Times New Roman"/>
          <w:color w:val="000000"/>
          <w:sz w:val="28"/>
          <w:szCs w:val="28"/>
        </w:rPr>
        <w:t xml:space="preserve"> Trường hợp bán ra sản phẩm công nghiệp thì giá tính thuế tài nguyên là giá bán sản phẩm công nghiệp trừ đi chi phí chế biến phát sinh của công đoạn chế biến từ sản phẩm tài nguyên thành sản phẩm công nghiệp nhưng không thấp hơn giá tính thuế do Ủy ban nhân dân cấp tỉnh quy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c) Trường hợp giá tính thuế mà NNT xác định thấp hơn giá tính thuế tại Bảng giá do UBND cấp tỉnh quy định thì áp dụng giá tính thuế do UBND cấp tỉnh quy định; Trường hợp tại Bảng giá của UBND cấp tỉnh quy định chưa có giá đối với loại sản phẩm này thì cơ quan thuế phối hợp với cơ quan chức năng thực hiện kiểm tra, ấn định theo pháp luật về quản lý thuế.</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d) Trường hợp tài nguyên khai thác dựa vào chế biến, sản xuất sản phẩm và thu được sản phẩm tài nguyên đồng hành thì áp dụng giá tính thuế đơn vị tài nguyên theo từng trường hợp cụ thể nêu tại Điều này.</w:t>
      </w:r>
    </w:p>
    <w:p w:rsidR="00C17892" w:rsidRPr="00214BFD" w:rsidRDefault="00C17892" w:rsidP="00F62B25">
      <w:pPr>
        <w:pStyle w:val="NormalWeb"/>
        <w:shd w:val="clear" w:color="auto" w:fill="FFFFFF"/>
        <w:spacing w:after="120" w:line="240" w:lineRule="auto"/>
        <w:ind w:firstLine="709"/>
        <w:jc w:val="both"/>
        <w:rPr>
          <w:rFonts w:ascii="Times New Roman" w:hAnsi="Times New Roman"/>
          <w:i/>
          <w:color w:val="000000"/>
          <w:sz w:val="28"/>
          <w:szCs w:val="28"/>
        </w:rPr>
      </w:pPr>
      <w:r w:rsidRPr="00F62B25">
        <w:rPr>
          <w:rFonts w:ascii="Times New Roman" w:hAnsi="Times New Roman"/>
          <w:i/>
          <w:color w:val="000000"/>
          <w:sz w:val="28"/>
          <w:szCs w:val="28"/>
        </w:rPr>
        <w:lastRenderedPageBreak/>
        <w:t>Ví dụ 9</w:t>
      </w:r>
      <w:r w:rsidRPr="00F62B25">
        <w:rPr>
          <w:rStyle w:val="FootnoteReference"/>
          <w:rFonts w:ascii="Times New Roman" w:hAnsi="Times New Roman"/>
          <w:i/>
          <w:color w:val="000000"/>
          <w:sz w:val="28"/>
          <w:szCs w:val="28"/>
        </w:rPr>
        <w:footnoteReference w:id="17"/>
      </w:r>
      <w:r w:rsidR="009E2F2D">
        <w:rPr>
          <w:rFonts w:ascii="Times New Roman" w:hAnsi="Times New Roman"/>
          <w:i/>
          <w:color w:val="000000"/>
          <w:sz w:val="28"/>
          <w:szCs w:val="28"/>
        </w:rPr>
        <w:t xml:space="preserve"> </w:t>
      </w:r>
      <w:r w:rsidR="00214BFD" w:rsidRPr="00214BFD">
        <w:rPr>
          <w:rFonts w:ascii="Times New Roman" w:hAnsi="Times New Roman"/>
          <w:b/>
          <w:i/>
          <w:color w:val="000000"/>
          <w:sz w:val="28"/>
          <w:szCs w:val="28"/>
        </w:rPr>
        <w:t>(được bãi bỏ)</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4. Giá tính thuế tài nguyên trong một số trường hợp được quy định cụ thể như sau: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Cs/>
          <w:color w:val="000000"/>
          <w:sz w:val="28"/>
          <w:szCs w:val="28"/>
        </w:rPr>
        <w:t>a)</w:t>
      </w:r>
      <w:bookmarkStart w:id="11" w:name="_ftnref3"/>
      <w:bookmarkEnd w:id="11"/>
      <w:r w:rsidR="002D165A" w:rsidRPr="00F62B25">
        <w:rPr>
          <w:rStyle w:val="FootnoteReference"/>
          <w:rFonts w:ascii="Times New Roman" w:hAnsi="Times New Roman"/>
          <w:iCs/>
          <w:color w:val="000000"/>
          <w:sz w:val="28"/>
          <w:szCs w:val="28"/>
        </w:rPr>
        <w:footnoteReference w:id="18"/>
      </w:r>
      <w:r w:rsidR="002D165A" w:rsidRPr="00F62B25">
        <w:rPr>
          <w:rFonts w:ascii="Times New Roman" w:hAnsi="Times New Roman"/>
          <w:iCs/>
          <w:color w:val="000000"/>
          <w:sz w:val="28"/>
          <w:szCs w:val="28"/>
        </w:rPr>
        <w:t xml:space="preserve"> </w:t>
      </w:r>
      <w:r w:rsidRPr="00F62B25">
        <w:rPr>
          <w:rFonts w:ascii="Times New Roman" w:hAnsi="Times New Roman"/>
          <w:iCs/>
          <w:color w:val="000000"/>
          <w:sz w:val="28"/>
          <w:szCs w:val="28"/>
        </w:rPr>
        <w:t>Giá tính thuế tài nguyên đối với nước thiên nhiên dùng sản xuất thủy điện là giá bán điện thương phẩm bình quân.</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Cs/>
          <w:color w:val="000000"/>
          <w:sz w:val="28"/>
          <w:szCs w:val="28"/>
        </w:rPr>
        <w:t>Giá bán điện thương phẩm bình quân để tính thuế tài nguyên đối với các cơ sở sản xuất thủy điện được xác định theo giá bán lẻ điện bình quân do Bộ Công Thương quyết định.</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b) Đối với gỗ là giá bán tại bãi giao (kho, bãi nơi khai thác); trường hợp chưa xác định được giá bán tại bãi giao thì giá tính thuế được xác định căn cứ vào giá tính thuế do Ủy ban nhân dân cấp tỉnh quy định theo hướng dẫn tại khoản 6 Điều này.</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c) Đối với nước khoáng thiên nhiên, nước nóng thiên nhiên, nước thiên nhiên tinh lọc đóng chai, đóng hộp, nước thiên nhiên dùng cho sản xuất, kinh doanh mà không có giá bán ra thì giá tính thuế tài nguyên do UBND cấp tỉnh quy định theo nguyên tắc hướng dẫn tại khoản 5 Điều này.</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d) Tổ chức, cá nhân khai thác tài nguyên không thực hiện đầy đủ chế độ sổ sách kế toán, chứng từ kế toán theo quy định thì cơ quan thuế thực hiện kiểm tra, ấn định thuế theo quy định của pháp luật về quản lý thuế. Trường hợp này, sản lượng tài nguyên tính thuế được xác định căn cứ kết quả kiểm tra, giá tính thuế tài nguyên là giá tại Bảng giá do UBND cấp tỉnh quy định áp dụng tương ứng với từng thời kỳ.</w:t>
      </w:r>
    </w:p>
    <w:p w:rsidR="00F83012" w:rsidRPr="00F62B25" w:rsidRDefault="00F83012" w:rsidP="00F62B25">
      <w:pPr>
        <w:pStyle w:val="BodyTextIndent"/>
        <w:spacing w:before="120" w:line="240" w:lineRule="auto"/>
        <w:ind w:left="0" w:firstLine="709"/>
        <w:jc w:val="both"/>
        <w:rPr>
          <w:rFonts w:ascii="Times New Roman" w:hAnsi="Times New Roman"/>
          <w:sz w:val="28"/>
          <w:szCs w:val="28"/>
          <w:lang w:val="de-DE"/>
        </w:rPr>
      </w:pPr>
      <w:r w:rsidRPr="00F62B25">
        <w:rPr>
          <w:rFonts w:ascii="Times New Roman" w:hAnsi="Times New Roman"/>
          <w:sz w:val="28"/>
          <w:szCs w:val="28"/>
          <w:lang w:val="de-DE"/>
        </w:rPr>
        <w:t>5</w:t>
      </w:r>
      <w:r w:rsidR="00AC0D6F" w:rsidRPr="00F62B25">
        <w:rPr>
          <w:rStyle w:val="FootnoteReference"/>
          <w:rFonts w:ascii="Times New Roman" w:hAnsi="Times New Roman"/>
          <w:sz w:val="28"/>
          <w:szCs w:val="28"/>
          <w:lang w:val="de-DE"/>
        </w:rPr>
        <w:footnoteReference w:id="19"/>
      </w:r>
      <w:r w:rsidRPr="00F62B25">
        <w:rPr>
          <w:rFonts w:ascii="Times New Roman" w:hAnsi="Times New Roman"/>
          <w:sz w:val="28"/>
          <w:szCs w:val="28"/>
          <w:lang w:val="de-DE"/>
        </w:rPr>
        <w:t xml:space="preserve">. </w:t>
      </w:r>
      <w:r w:rsidR="009F3796" w:rsidRPr="00FB5C8A">
        <w:rPr>
          <w:rFonts w:ascii="Times New Roman" w:hAnsi="Times New Roman"/>
          <w:sz w:val="28"/>
          <w:szCs w:val="28"/>
          <w:lang w:val="de-DE"/>
        </w:rPr>
        <w:t>Ủy ban nhân dân cấp tỉnh ban hành Bảng giá tính thuế</w:t>
      </w:r>
      <w:r w:rsidR="00075396">
        <w:rPr>
          <w:rFonts w:ascii="Times New Roman" w:hAnsi="Times New Roman"/>
          <w:sz w:val="28"/>
          <w:szCs w:val="28"/>
          <w:lang w:val="de-DE"/>
        </w:rPr>
        <w:t xml:space="preserve"> </w:t>
      </w:r>
      <w:r w:rsidR="009F3796" w:rsidRPr="00FB5C8A">
        <w:rPr>
          <w:rFonts w:ascii="Times New Roman" w:hAnsi="Times New Roman"/>
          <w:sz w:val="28"/>
          <w:szCs w:val="28"/>
          <w:lang w:val="de-DE"/>
        </w:rPr>
        <w:t xml:space="preserve">tài nguyên </w:t>
      </w:r>
      <w:r w:rsidR="00075396">
        <w:rPr>
          <w:rFonts w:ascii="Times New Roman" w:hAnsi="Times New Roman"/>
          <w:sz w:val="28"/>
          <w:szCs w:val="28"/>
          <w:lang w:val="de-DE"/>
        </w:rPr>
        <w:t>như sau:</w:t>
      </w:r>
    </w:p>
    <w:p w:rsidR="009F3796" w:rsidRPr="00FB5C8A" w:rsidRDefault="00075396" w:rsidP="009F3796">
      <w:pPr>
        <w:spacing w:before="240" w:after="240" w:line="240" w:lineRule="auto"/>
        <w:ind w:firstLine="720"/>
        <w:jc w:val="both"/>
        <w:rPr>
          <w:rFonts w:ascii="Times New Roman" w:hAnsi="Times New Roman"/>
          <w:sz w:val="28"/>
          <w:szCs w:val="28"/>
          <w:lang w:val="de-DE"/>
        </w:rPr>
      </w:pPr>
      <w:r>
        <w:rPr>
          <w:rFonts w:ascii="Times New Roman" w:hAnsi="Times New Roman"/>
          <w:sz w:val="28"/>
          <w:szCs w:val="28"/>
          <w:lang w:val="de-DE"/>
        </w:rPr>
        <w:t>5.1.</w:t>
      </w:r>
      <w:r w:rsidR="009F3796" w:rsidRPr="00FB5C8A">
        <w:rPr>
          <w:rFonts w:ascii="Times New Roman" w:hAnsi="Times New Roman"/>
          <w:sz w:val="28"/>
          <w:szCs w:val="28"/>
          <w:lang w:val="de-DE"/>
        </w:rPr>
        <w:t xml:space="preserve"> Bảng giá tính thuế tài nguyên có các thông tin để làm cơ sở xác định thuế tài nguyên đối với hoạt động khai thác tài nguyên phát sinh trong tỉnh phù hợp với chính sách, pháp luật gồm: định mức sử dụng tài nguyên làm căn cứ quy đổi từ sản phẩm tài nguyên hoặc sản phẩm công nghiệp ra sản lượng tài nguyên khai thác có trong sản phẩm tài nguyên và sản phẩm công nghiệp; Giá tính thuế tài nguyên tương ứng với loại tài nguyên khai thác, sản phẩm tài nguyên sau khi chế biến, trong đó:</w:t>
      </w:r>
    </w:p>
    <w:p w:rsidR="009F3796" w:rsidRDefault="00075396" w:rsidP="009F3796">
      <w:pPr>
        <w:pStyle w:val="BodyTextIndent"/>
        <w:spacing w:before="240" w:after="240" w:line="240" w:lineRule="auto"/>
        <w:ind w:left="0" w:firstLine="720"/>
        <w:jc w:val="both"/>
        <w:rPr>
          <w:rFonts w:ascii="Times New Roman" w:hAnsi="Times New Roman"/>
          <w:color w:val="FF0000"/>
          <w:sz w:val="28"/>
          <w:szCs w:val="28"/>
          <w:lang w:val="de-DE"/>
        </w:rPr>
      </w:pPr>
      <w:r>
        <w:rPr>
          <w:rFonts w:ascii="Times New Roman" w:hAnsi="Times New Roman"/>
          <w:sz w:val="28"/>
          <w:szCs w:val="28"/>
          <w:lang w:val="de-DE"/>
        </w:rPr>
        <w:t>a</w:t>
      </w:r>
      <w:r w:rsidR="009F3796" w:rsidRPr="00FB5C8A">
        <w:rPr>
          <w:rFonts w:ascii="Times New Roman" w:hAnsi="Times New Roman"/>
          <w:sz w:val="28"/>
          <w:szCs w:val="28"/>
          <w:lang w:val="de-DE"/>
        </w:rPr>
        <w:t xml:space="preserve">) </w:t>
      </w:r>
      <w:r w:rsidR="009F3796" w:rsidRPr="004A4E48">
        <w:rPr>
          <w:rFonts w:ascii="Times New Roman" w:hAnsi="Times New Roman"/>
          <w:color w:val="000000" w:themeColor="text1"/>
          <w:sz w:val="28"/>
          <w:szCs w:val="28"/>
          <w:lang w:val="de-DE"/>
        </w:rPr>
        <w:t xml:space="preserve">Định mức sử dụng tài nguyên làm căn cứ quy đổi từ sản phẩm tài nguyên hoặc sản phẩm công nghiệp ra sản lượng tài nguyên khai thác có trong sản phẩm tài nguyên và sản phẩm công nghiệp của các doanh nghiệp hoạt động </w:t>
      </w:r>
      <w:r w:rsidR="009F3796" w:rsidRPr="004A4E48">
        <w:rPr>
          <w:rFonts w:ascii="Times New Roman" w:hAnsi="Times New Roman"/>
          <w:color w:val="000000" w:themeColor="text1"/>
          <w:sz w:val="28"/>
          <w:szCs w:val="28"/>
          <w:lang w:val="de-DE"/>
        </w:rPr>
        <w:lastRenderedPageBreak/>
        <w:t>trên địa bàn tỉnh được xác định căn cứ thực tế khai báo của doanh nghiệp nhưng phải phù hợp báo cáo thăm dò đánh giá của các cơ quan, tổ chức về hàm lượng, chất lượng, sản lượng của loại tài nguyên, phương pháp khai thác, tỷ lệ thu hồi tài nguyên tại địa bàn nơi có tài nguyên khai thác.</w:t>
      </w:r>
    </w:p>
    <w:p w:rsidR="009F3796" w:rsidRPr="00FB5C8A" w:rsidRDefault="00075396" w:rsidP="009F3796">
      <w:pPr>
        <w:pStyle w:val="BodyTextIndent"/>
        <w:spacing w:before="240" w:after="240" w:line="240" w:lineRule="auto"/>
        <w:ind w:left="0" w:firstLine="720"/>
        <w:jc w:val="both"/>
        <w:rPr>
          <w:rFonts w:ascii="Times New Roman" w:hAnsi="Times New Roman"/>
          <w:sz w:val="28"/>
          <w:szCs w:val="28"/>
          <w:lang w:val="de-DE"/>
        </w:rPr>
      </w:pPr>
      <w:r>
        <w:rPr>
          <w:rFonts w:ascii="Times New Roman" w:hAnsi="Times New Roman"/>
          <w:sz w:val="28"/>
          <w:szCs w:val="28"/>
          <w:lang w:val="de-DE"/>
        </w:rPr>
        <w:t>b</w:t>
      </w:r>
      <w:r w:rsidR="009F3796" w:rsidRPr="00FB5C8A">
        <w:rPr>
          <w:rFonts w:ascii="Times New Roman" w:hAnsi="Times New Roman"/>
          <w:sz w:val="28"/>
          <w:szCs w:val="28"/>
          <w:lang w:val="de-DE"/>
        </w:rPr>
        <w:t xml:space="preserve">) Giá tính thuế quy định tại Bảng giá là giá tài nguyên khai thác và giá sản phẩm tài nguyên tương ứng với tính chất của tài nguyên, sản phẩm tài nguyên khai thác, chế biến của các doanh nghiệp hoạt động trong địa bàn tỉnh, được xác định trên cơ sở các tài liệu, chứng từ, hợp đồng mua bán của các doanh nghiệp, tổ chức trong tỉnh về chất lượng, sản lượng của loại tài nguyên, giá sản phẩm tài nguyên bán ra tại thị trường địa phương và thị trường của địa phương lân cận, trừ trường hợp được quy định tại điểm </w:t>
      </w:r>
      <w:r>
        <w:rPr>
          <w:rFonts w:ascii="Times New Roman" w:hAnsi="Times New Roman"/>
          <w:sz w:val="28"/>
          <w:szCs w:val="28"/>
          <w:lang w:val="de-DE"/>
        </w:rPr>
        <w:t>c k</w:t>
      </w:r>
      <w:r w:rsidR="009F3796" w:rsidRPr="00FB5C8A">
        <w:rPr>
          <w:rFonts w:ascii="Times New Roman" w:hAnsi="Times New Roman"/>
          <w:sz w:val="28"/>
          <w:szCs w:val="28"/>
          <w:lang w:val="de-DE"/>
        </w:rPr>
        <w:t xml:space="preserve">hoản </w:t>
      </w:r>
      <w:r>
        <w:rPr>
          <w:rFonts w:ascii="Times New Roman" w:hAnsi="Times New Roman"/>
          <w:sz w:val="28"/>
          <w:szCs w:val="28"/>
          <w:lang w:val="de-DE"/>
        </w:rPr>
        <w:t xml:space="preserve">5 Điều </w:t>
      </w:r>
      <w:r w:rsidR="009F3796" w:rsidRPr="00FB5C8A">
        <w:rPr>
          <w:rFonts w:ascii="Times New Roman" w:hAnsi="Times New Roman"/>
          <w:sz w:val="28"/>
          <w:szCs w:val="28"/>
          <w:lang w:val="de-DE"/>
        </w:rPr>
        <w:t>này.</w:t>
      </w:r>
    </w:p>
    <w:p w:rsidR="009F3796" w:rsidRPr="00FB5C8A" w:rsidRDefault="00075396" w:rsidP="009F3796">
      <w:pPr>
        <w:pStyle w:val="BodyTextIndent"/>
        <w:spacing w:before="240" w:after="240" w:line="240" w:lineRule="auto"/>
        <w:ind w:left="0" w:firstLine="720"/>
        <w:jc w:val="both"/>
        <w:rPr>
          <w:rFonts w:ascii="Times New Roman" w:hAnsi="Times New Roman"/>
          <w:sz w:val="28"/>
          <w:szCs w:val="28"/>
          <w:lang w:val="de-DE"/>
        </w:rPr>
      </w:pPr>
      <w:r>
        <w:rPr>
          <w:rFonts w:ascii="Times New Roman" w:hAnsi="Times New Roman"/>
          <w:sz w:val="28"/>
          <w:szCs w:val="28"/>
          <w:lang w:val="de-DE"/>
        </w:rPr>
        <w:t>c</w:t>
      </w:r>
      <w:r w:rsidR="009F3796" w:rsidRPr="00FB5C8A">
        <w:rPr>
          <w:rFonts w:ascii="Times New Roman" w:hAnsi="Times New Roman"/>
          <w:sz w:val="28"/>
          <w:szCs w:val="28"/>
          <w:lang w:val="de-DE"/>
        </w:rPr>
        <w:t>) Giá tính thuế tài nguyên đối với trường hợp tài nguyên khai thác không bán ra mà phải qua sản xuất, chế biến mới bán ra được xác định như sau:</w:t>
      </w:r>
    </w:p>
    <w:p w:rsidR="009F3796" w:rsidRPr="00FB5C8A" w:rsidRDefault="00075396" w:rsidP="009F3796">
      <w:pPr>
        <w:pStyle w:val="BodyTextIndent"/>
        <w:spacing w:before="240" w:after="240" w:line="240" w:lineRule="auto"/>
        <w:ind w:left="0" w:firstLine="720"/>
        <w:jc w:val="both"/>
        <w:rPr>
          <w:rFonts w:ascii="Times New Roman" w:hAnsi="Times New Roman"/>
          <w:sz w:val="28"/>
          <w:szCs w:val="28"/>
          <w:lang w:val="de-DE"/>
        </w:rPr>
      </w:pPr>
      <w:r>
        <w:rPr>
          <w:rFonts w:ascii="Times New Roman" w:hAnsi="Times New Roman"/>
          <w:sz w:val="28"/>
          <w:szCs w:val="28"/>
          <w:lang w:val="de-DE"/>
        </w:rPr>
        <w:t>c1)</w:t>
      </w:r>
      <w:r w:rsidR="009F3796" w:rsidRPr="00FB5C8A">
        <w:rPr>
          <w:rFonts w:ascii="Times New Roman" w:hAnsi="Times New Roman"/>
          <w:sz w:val="28"/>
          <w:szCs w:val="28"/>
          <w:lang w:val="de-DE"/>
        </w:rPr>
        <w:t xml:space="preserve"> Đối với trường hợp tài nguyên khai thác được đưa vào sản xuất, chế biến và bán ra sản phẩm tài nguyên thì giá tính thuế là giá bán sản phẩm tài nguyên không có thuế giá trị gia tăng (trường hợp tiêu thụ trong nước) hoặc trị giá hải quan không bao gồm thuế xuất khẩu (đối với trường hợp xuất khẩ</w:t>
      </w:r>
      <w:r w:rsidR="009F3796">
        <w:rPr>
          <w:rFonts w:ascii="Times New Roman" w:hAnsi="Times New Roman"/>
          <w:sz w:val="28"/>
          <w:szCs w:val="28"/>
          <w:lang w:val="de-DE"/>
        </w:rPr>
        <w:t>u)</w:t>
      </w:r>
      <w:r w:rsidR="005C4AC7">
        <w:rPr>
          <w:rFonts w:ascii="Times New Roman" w:hAnsi="Times New Roman"/>
          <w:sz w:val="28"/>
          <w:szCs w:val="28"/>
          <w:lang w:val="de-DE"/>
        </w:rPr>
        <w:t>;</w:t>
      </w:r>
    </w:p>
    <w:p w:rsidR="005C4AC7" w:rsidRDefault="00075396" w:rsidP="009F3796">
      <w:pPr>
        <w:pStyle w:val="BodyTextIndent"/>
        <w:spacing w:before="120" w:line="240" w:lineRule="auto"/>
        <w:ind w:left="0" w:firstLine="709"/>
        <w:jc w:val="both"/>
        <w:rPr>
          <w:rFonts w:ascii="Times New Roman" w:hAnsi="Times New Roman"/>
          <w:sz w:val="28"/>
          <w:szCs w:val="28"/>
          <w:lang w:val="de-DE"/>
        </w:rPr>
      </w:pPr>
      <w:r>
        <w:rPr>
          <w:rFonts w:ascii="Times New Roman" w:hAnsi="Times New Roman"/>
          <w:sz w:val="28"/>
          <w:szCs w:val="28"/>
          <w:lang w:val="de-DE"/>
        </w:rPr>
        <w:t>c2)</w:t>
      </w:r>
      <w:r w:rsidR="009F3796" w:rsidRPr="00FB5C8A">
        <w:rPr>
          <w:rFonts w:ascii="Times New Roman" w:hAnsi="Times New Roman"/>
          <w:sz w:val="28"/>
          <w:szCs w:val="28"/>
          <w:lang w:val="de-DE"/>
        </w:rPr>
        <w:t xml:space="preserve"> Đối với trường hợp tài nguyên khai thác được đưa vào sản xuất, chế biến thành sản phẩm công nghiệp mới bán ra (tiêu thụ trong nước hoặc xuất khẩu): Giá tính thuế tài nguyên được xác định căn cứ vào giá bán (trường hợp tiêu thụ trong nước) hoặc trị giá hải quan (đối với trường hợp xuất khẩu) của sản phẩm công nghiệp bán ra trừ thuế xuất khẩu (nếu có) và chi phí chế biến công nghiệp của công đoạn chế biến từ sản phẩm tài nguyên thành sản phẩm công nghiệp.</w:t>
      </w:r>
      <w:r w:rsidR="009F3796">
        <w:rPr>
          <w:rFonts w:ascii="Times New Roman" w:hAnsi="Times New Roman"/>
          <w:sz w:val="28"/>
          <w:szCs w:val="28"/>
          <w:lang w:val="de-DE"/>
        </w:rPr>
        <w:t xml:space="preserve"> </w:t>
      </w:r>
    </w:p>
    <w:p w:rsidR="00F83012" w:rsidRPr="00F62B25" w:rsidRDefault="009F3796" w:rsidP="009F3796">
      <w:pPr>
        <w:pStyle w:val="BodyTextIndent"/>
        <w:spacing w:before="120" w:line="240" w:lineRule="auto"/>
        <w:ind w:left="0" w:firstLine="709"/>
        <w:jc w:val="both"/>
        <w:rPr>
          <w:rFonts w:ascii="Times New Roman" w:hAnsi="Times New Roman"/>
          <w:sz w:val="28"/>
          <w:szCs w:val="28"/>
          <w:lang w:val="de-DE"/>
        </w:rPr>
      </w:pPr>
      <w:r>
        <w:rPr>
          <w:rFonts w:ascii="Times New Roman" w:eastAsia="Times New Roman" w:hAnsi="Times New Roman"/>
          <w:sz w:val="28"/>
          <w:szCs w:val="28"/>
          <w:lang w:val="de-DE"/>
        </w:rPr>
        <w:t>C</w:t>
      </w:r>
      <w:r w:rsidRPr="00CB065E">
        <w:rPr>
          <w:rFonts w:ascii="Times New Roman" w:eastAsia="Times New Roman" w:hAnsi="Times New Roman"/>
          <w:sz w:val="28"/>
          <w:szCs w:val="28"/>
          <w:lang w:val="de-DE"/>
        </w:rPr>
        <w:t xml:space="preserve">hi phí chế biến </w:t>
      </w:r>
      <w:r w:rsidR="005C4AC7">
        <w:rPr>
          <w:rFonts w:ascii="Times New Roman" w:eastAsia="Times New Roman" w:hAnsi="Times New Roman"/>
          <w:sz w:val="28"/>
          <w:szCs w:val="28"/>
          <w:lang w:val="de-DE"/>
        </w:rPr>
        <w:t xml:space="preserve">được trừ quy định tại điểm c2 này </w:t>
      </w:r>
      <w:r w:rsidRPr="00CB065E">
        <w:rPr>
          <w:rFonts w:ascii="Times New Roman" w:eastAsia="Times New Roman" w:hAnsi="Times New Roman"/>
          <w:sz w:val="28"/>
          <w:szCs w:val="28"/>
          <w:lang w:val="de-DE"/>
        </w:rPr>
        <w:t xml:space="preserve">do Sở Tài chính chủ trì, phối hợp với cơ quan thuế, cơ quan </w:t>
      </w:r>
      <w:r w:rsidRPr="006B2218">
        <w:rPr>
          <w:rFonts w:ascii="Times New Roman" w:eastAsia="Times New Roman" w:hAnsi="Times New Roman"/>
          <w:sz w:val="28"/>
          <w:szCs w:val="28"/>
          <w:lang w:val="de-DE"/>
        </w:rPr>
        <w:t>nông nghiệp và môi trường</w:t>
      </w:r>
      <w:r w:rsidR="005C4AC7">
        <w:rPr>
          <w:rStyle w:val="FootnoteReference"/>
          <w:rFonts w:ascii="Times New Roman" w:eastAsia="Times New Roman" w:hAnsi="Times New Roman"/>
          <w:sz w:val="28"/>
          <w:szCs w:val="28"/>
          <w:lang w:val="de-DE"/>
        </w:rPr>
        <w:footnoteReference w:id="20"/>
      </w:r>
      <w:r w:rsidRPr="00CB065E">
        <w:rPr>
          <w:rFonts w:ascii="Times New Roman" w:eastAsia="Times New Roman" w:hAnsi="Times New Roman"/>
          <w:sz w:val="28"/>
          <w:szCs w:val="28"/>
          <w:lang w:val="de-DE"/>
        </w:rPr>
        <w:t xml:space="preserve"> và cơ quan quản lý nhà nước chuyên </w:t>
      </w:r>
      <w:r w:rsidRPr="00581728">
        <w:rPr>
          <w:rFonts w:ascii="Times New Roman" w:eastAsia="Times New Roman" w:hAnsi="Times New Roman"/>
          <w:spacing w:val="-4"/>
          <w:sz w:val="28"/>
          <w:szCs w:val="28"/>
          <w:lang w:val="de-DE"/>
        </w:rPr>
        <w:t>ngành có liên quan thống nhất xác địn</w:t>
      </w:r>
      <w:r w:rsidR="00210C81">
        <w:rPr>
          <w:rFonts w:ascii="Times New Roman" w:eastAsia="Times New Roman" w:hAnsi="Times New Roman"/>
          <w:spacing w:val="-4"/>
          <w:sz w:val="28"/>
          <w:szCs w:val="28"/>
          <w:lang w:val="de-DE"/>
        </w:rPr>
        <w:t>h trình Ủy ban nhân dân cấp tỉnh</w:t>
      </w:r>
      <w:r w:rsidRPr="00581728">
        <w:rPr>
          <w:rFonts w:ascii="Times New Roman" w:eastAsia="Times New Roman" w:hAnsi="Times New Roman"/>
          <w:spacing w:val="-4"/>
          <w:sz w:val="28"/>
          <w:szCs w:val="28"/>
          <w:lang w:val="de-DE"/>
        </w:rPr>
        <w:t xml:space="preserve"> quyết định</w:t>
      </w:r>
      <w:r w:rsidRPr="00581728">
        <w:rPr>
          <w:rFonts w:ascii="Times New Roman" w:eastAsia="Times New Roman" w:hAnsi="Times New Roman"/>
          <w:i/>
          <w:spacing w:val="-4"/>
          <w:sz w:val="28"/>
          <w:szCs w:val="28"/>
          <w:lang w:val="de-DE"/>
        </w:rPr>
        <w:t xml:space="preserve"> </w:t>
      </w:r>
      <w:r w:rsidRPr="00581728">
        <w:rPr>
          <w:rFonts w:ascii="Times New Roman" w:eastAsia="Times New Roman" w:hAnsi="Times New Roman"/>
          <w:spacing w:val="-4"/>
          <w:sz w:val="28"/>
          <w:szCs w:val="28"/>
          <w:lang w:val="de-DE"/>
        </w:rPr>
        <w:t>căn cứ vào</w:t>
      </w:r>
      <w:r w:rsidRPr="00581728">
        <w:rPr>
          <w:rFonts w:ascii="Times New Roman" w:eastAsia="Times New Roman" w:hAnsi="Times New Roman"/>
          <w:i/>
          <w:spacing w:val="-4"/>
          <w:sz w:val="28"/>
          <w:szCs w:val="28"/>
          <w:lang w:val="de-DE"/>
        </w:rPr>
        <w:t xml:space="preserve"> </w:t>
      </w:r>
      <w:r w:rsidRPr="00581728">
        <w:rPr>
          <w:rFonts w:ascii="Times New Roman" w:eastAsia="Times New Roman" w:hAnsi="Times New Roman"/>
          <w:spacing w:val="-4"/>
          <w:sz w:val="28"/>
          <w:szCs w:val="28"/>
          <w:lang w:val="de-DE"/>
        </w:rPr>
        <w:t>công nghệ chế biến theo Dự án đã được phê duyệt và kết quả hoạt động kinh doanh của các doanh nghiệp khai thác, chế biến tài nguyên trong địa bàn tỉnh.</w:t>
      </w:r>
    </w:p>
    <w:p w:rsidR="00DE5891" w:rsidRDefault="00DE5891" w:rsidP="00F62B25">
      <w:pPr>
        <w:pStyle w:val="BodyTextIndent"/>
        <w:spacing w:before="120" w:line="240" w:lineRule="auto"/>
        <w:ind w:left="0" w:firstLine="709"/>
        <w:jc w:val="both"/>
        <w:rPr>
          <w:rFonts w:ascii="Times New Roman" w:hAnsi="Times New Roman"/>
          <w:sz w:val="28"/>
          <w:szCs w:val="28"/>
          <w:lang w:val="de-DE"/>
        </w:rPr>
      </w:pPr>
      <w:r>
        <w:rPr>
          <w:rFonts w:ascii="Times New Roman" w:hAnsi="Times New Roman"/>
          <w:sz w:val="28"/>
          <w:szCs w:val="28"/>
          <w:lang w:val="de-DE"/>
        </w:rPr>
        <w:t>5.2</w:t>
      </w:r>
      <w:r w:rsidR="000D0D25">
        <w:rPr>
          <w:rFonts w:ascii="Times New Roman" w:hAnsi="Times New Roman"/>
          <w:sz w:val="28"/>
          <w:szCs w:val="28"/>
          <w:lang w:val="de-DE"/>
        </w:rPr>
        <w:t>.</w:t>
      </w:r>
      <w:r w:rsidR="00214BFD">
        <w:rPr>
          <w:rStyle w:val="FootnoteReference"/>
          <w:rFonts w:ascii="Times New Roman" w:hAnsi="Times New Roman"/>
          <w:sz w:val="28"/>
          <w:szCs w:val="28"/>
          <w:lang w:val="de-DE"/>
        </w:rPr>
        <w:footnoteReference w:id="21"/>
      </w:r>
      <w:r w:rsidR="00214BFD" w:rsidRPr="00214BFD">
        <w:rPr>
          <w:rFonts w:ascii="Times New Roman" w:hAnsi="Times New Roman"/>
          <w:b/>
          <w:i/>
          <w:color w:val="000000"/>
          <w:sz w:val="28"/>
          <w:szCs w:val="28"/>
        </w:rPr>
        <w:t xml:space="preserve"> (được bãi bỏ)</w:t>
      </w:r>
    </w:p>
    <w:p w:rsidR="00181324" w:rsidRPr="00FB5C8A" w:rsidRDefault="00075396" w:rsidP="00181324">
      <w:pPr>
        <w:pStyle w:val="BodyTextIndent"/>
        <w:spacing w:before="240" w:after="240" w:line="240" w:lineRule="auto"/>
        <w:ind w:left="0" w:firstLine="720"/>
        <w:jc w:val="both"/>
        <w:rPr>
          <w:rFonts w:ascii="Times New Roman" w:hAnsi="Times New Roman"/>
          <w:sz w:val="28"/>
          <w:szCs w:val="28"/>
          <w:lang w:val="de-DE"/>
        </w:rPr>
      </w:pPr>
      <w:r>
        <w:rPr>
          <w:rFonts w:ascii="Times New Roman" w:hAnsi="Times New Roman"/>
          <w:sz w:val="28"/>
          <w:szCs w:val="28"/>
          <w:lang w:val="de-DE"/>
        </w:rPr>
        <w:t>5.3</w:t>
      </w:r>
      <w:r>
        <w:rPr>
          <w:rStyle w:val="FootnoteReference"/>
          <w:rFonts w:ascii="Times New Roman" w:hAnsi="Times New Roman"/>
          <w:sz w:val="28"/>
          <w:szCs w:val="28"/>
          <w:lang w:val="de-DE"/>
        </w:rPr>
        <w:footnoteReference w:id="22"/>
      </w:r>
      <w:r>
        <w:rPr>
          <w:rFonts w:ascii="Times New Roman" w:hAnsi="Times New Roman"/>
          <w:sz w:val="28"/>
          <w:szCs w:val="28"/>
          <w:lang w:val="de-DE"/>
        </w:rPr>
        <w:t>.</w:t>
      </w:r>
      <w:r w:rsidR="00181324" w:rsidRPr="0085790C">
        <w:rPr>
          <w:rFonts w:ascii="Times New Roman" w:hAnsi="Times New Roman"/>
          <w:sz w:val="28"/>
          <w:szCs w:val="28"/>
          <w:lang w:val="de-DE"/>
        </w:rPr>
        <w:t xml:space="preserve"> </w:t>
      </w:r>
      <w:r w:rsidRPr="008C4DEA">
        <w:rPr>
          <w:rFonts w:ascii="Times New Roman" w:hAnsi="Times New Roman"/>
          <w:color w:val="000000"/>
          <w:sz w:val="28"/>
          <w:szCs w:val="28"/>
        </w:rPr>
        <w:t xml:space="preserve">Trường hợp </w:t>
      </w:r>
      <w:r w:rsidRPr="008C4DEA">
        <w:rPr>
          <w:rFonts w:ascii="Times New Roman" w:hAnsi="Times New Roman"/>
          <w:color w:val="000000"/>
          <w:sz w:val="28"/>
          <w:szCs w:val="28"/>
          <w:lang w:val="sv-SE"/>
        </w:rPr>
        <w:t xml:space="preserve">điều chỉnh, sửa đổi, bổ sung Bảng giá tính thuế tài nguyên, Sở Tài chính chủ trì phối hợp với các cơ quan liên quan </w:t>
      </w:r>
      <w:r w:rsidRPr="008C4DEA">
        <w:rPr>
          <w:rFonts w:ascii="Times New Roman" w:hAnsi="Times New Roman"/>
          <w:color w:val="000000"/>
          <w:sz w:val="28"/>
          <w:szCs w:val="28"/>
        </w:rPr>
        <w:t>tổ chức việc </w:t>
      </w:r>
      <w:r w:rsidRPr="008C4DEA">
        <w:rPr>
          <w:rFonts w:ascii="Times New Roman" w:hAnsi="Times New Roman"/>
          <w:color w:val="000000"/>
          <w:sz w:val="28"/>
          <w:szCs w:val="28"/>
          <w:lang w:val="nl-NL"/>
        </w:rPr>
        <w:t>xây dựng, điều chỉnh, sửa đổi, bổ sung Bảng giá tính thuế tài nguyên và trình Ủy ban nhân dân cấp tỉnh ban hành Bảng giá tính thuế tài nguyên</w:t>
      </w:r>
      <w:r w:rsidR="00181324">
        <w:rPr>
          <w:rFonts w:ascii="Times New Roman" w:hAnsi="Times New Roman"/>
          <w:color w:val="000000"/>
          <w:sz w:val="28"/>
          <w:szCs w:val="28"/>
          <w:lang w:val="nl-NL"/>
        </w:rPr>
        <w:t xml:space="preserve">. </w:t>
      </w:r>
    </w:p>
    <w:p w:rsidR="00F83012" w:rsidRPr="00F62B25" w:rsidRDefault="00075396" w:rsidP="00181324">
      <w:pPr>
        <w:pStyle w:val="NormalWeb"/>
        <w:shd w:val="clear" w:color="auto" w:fill="FFFFFF"/>
        <w:spacing w:after="120" w:line="240" w:lineRule="auto"/>
        <w:ind w:firstLine="709"/>
        <w:jc w:val="both"/>
        <w:rPr>
          <w:rFonts w:ascii="Times New Roman" w:hAnsi="Times New Roman"/>
          <w:color w:val="000000"/>
          <w:sz w:val="28"/>
          <w:szCs w:val="28"/>
        </w:rPr>
      </w:pPr>
      <w:r>
        <w:rPr>
          <w:rFonts w:ascii="Times New Roman" w:hAnsi="Times New Roman"/>
          <w:sz w:val="28"/>
          <w:szCs w:val="28"/>
          <w:lang w:val="de-DE"/>
        </w:rPr>
        <w:lastRenderedPageBreak/>
        <w:t>5.4</w:t>
      </w:r>
      <w:r>
        <w:rPr>
          <w:rStyle w:val="FootnoteReference"/>
          <w:rFonts w:ascii="Times New Roman" w:hAnsi="Times New Roman"/>
          <w:sz w:val="28"/>
          <w:szCs w:val="28"/>
          <w:lang w:val="de-DE"/>
        </w:rPr>
        <w:footnoteReference w:id="23"/>
      </w:r>
      <w:r>
        <w:rPr>
          <w:rFonts w:ascii="Times New Roman" w:hAnsi="Times New Roman"/>
          <w:sz w:val="28"/>
          <w:szCs w:val="28"/>
          <w:lang w:val="de-DE"/>
        </w:rPr>
        <w:t>.</w:t>
      </w:r>
      <w:r w:rsidR="00181324" w:rsidRPr="00FB5C8A">
        <w:rPr>
          <w:rFonts w:ascii="Times New Roman" w:hAnsi="Times New Roman"/>
          <w:sz w:val="28"/>
          <w:szCs w:val="28"/>
          <w:lang w:val="de-DE"/>
        </w:rPr>
        <w:t xml:space="preserve"> </w:t>
      </w:r>
      <w:r>
        <w:rPr>
          <w:rFonts w:ascii="Times New Roman" w:hAnsi="Times New Roman"/>
          <w:sz w:val="28"/>
          <w:szCs w:val="28"/>
          <w:lang w:val="de-DE"/>
        </w:rPr>
        <w:t xml:space="preserve">Sau khi </w:t>
      </w:r>
      <w:r>
        <w:rPr>
          <w:rFonts w:ascii="Times New Roman" w:hAnsi="Times New Roman"/>
          <w:color w:val="000000"/>
          <w:sz w:val="28"/>
          <w:szCs w:val="28"/>
          <w:lang w:val="nl-NL"/>
        </w:rPr>
        <w:t xml:space="preserve">Bảng giá </w:t>
      </w:r>
      <w:r w:rsidRPr="008C4DEA">
        <w:rPr>
          <w:rFonts w:ascii="Times New Roman" w:hAnsi="Times New Roman"/>
          <w:color w:val="000000"/>
          <w:sz w:val="28"/>
          <w:szCs w:val="28"/>
          <w:lang w:val="nl-NL"/>
        </w:rPr>
        <w:t>tính thuế tài nguyên</w:t>
      </w:r>
      <w:r>
        <w:rPr>
          <w:rFonts w:ascii="Times New Roman" w:hAnsi="Times New Roman"/>
          <w:color w:val="000000"/>
          <w:sz w:val="28"/>
          <w:szCs w:val="28"/>
          <w:lang w:val="nl-NL"/>
        </w:rPr>
        <w:t xml:space="preserve"> được ban hành, </w:t>
      </w:r>
      <w:r w:rsidRPr="0085790C">
        <w:rPr>
          <w:rFonts w:ascii="Times New Roman" w:hAnsi="Times New Roman"/>
          <w:color w:val="000000"/>
          <w:sz w:val="28"/>
          <w:szCs w:val="28"/>
        </w:rPr>
        <w:t>Bộ Tài chính (</w:t>
      </w:r>
      <w:r>
        <w:rPr>
          <w:rFonts w:ascii="Times New Roman" w:hAnsi="Times New Roman"/>
          <w:color w:val="000000"/>
          <w:sz w:val="28"/>
          <w:szCs w:val="28"/>
        </w:rPr>
        <w:t>C</w:t>
      </w:r>
      <w:r w:rsidRPr="0085790C">
        <w:rPr>
          <w:rFonts w:ascii="Times New Roman" w:hAnsi="Times New Roman"/>
          <w:color w:val="000000"/>
          <w:sz w:val="28"/>
          <w:szCs w:val="28"/>
        </w:rPr>
        <w:t>ục Thuế) cập nhật cơ sở dữ liệu giá tính thuế tài nguyên</w:t>
      </w:r>
      <w:r>
        <w:rPr>
          <w:rFonts w:ascii="Times New Roman" w:hAnsi="Times New Roman"/>
          <w:color w:val="000000"/>
          <w:sz w:val="28"/>
          <w:szCs w:val="28"/>
        </w:rPr>
        <w:t xml:space="preserve">. </w:t>
      </w:r>
      <w:r w:rsidRPr="00FB5C8A">
        <w:rPr>
          <w:rFonts w:ascii="Times New Roman" w:hAnsi="Times New Roman"/>
          <w:sz w:val="28"/>
          <w:szCs w:val="28"/>
          <w:lang w:val="de-DE"/>
        </w:rPr>
        <w:t xml:space="preserve">Cơ quan thuế địa phương công khai Bảng giá tính thuế tài nguyên </w:t>
      </w:r>
      <w:r>
        <w:rPr>
          <w:rFonts w:ascii="Times New Roman" w:hAnsi="Times New Roman"/>
          <w:sz w:val="28"/>
          <w:szCs w:val="28"/>
          <w:lang w:val="de-DE"/>
        </w:rPr>
        <w:t>trên Cổng</w:t>
      </w:r>
      <w:r w:rsidRPr="00FB5C8A">
        <w:rPr>
          <w:rFonts w:ascii="Times New Roman" w:hAnsi="Times New Roman"/>
          <w:sz w:val="28"/>
          <w:szCs w:val="28"/>
          <w:lang w:val="de-DE"/>
        </w:rPr>
        <w:t xml:space="preserve"> thông tin điện </w:t>
      </w:r>
      <w:r>
        <w:rPr>
          <w:rFonts w:ascii="Times New Roman" w:hAnsi="Times New Roman"/>
          <w:sz w:val="28"/>
          <w:szCs w:val="28"/>
          <w:lang w:val="de-DE"/>
        </w:rPr>
        <w:t xml:space="preserve">tử </w:t>
      </w:r>
      <w:r w:rsidRPr="00FB5C8A">
        <w:rPr>
          <w:rFonts w:ascii="Times New Roman" w:hAnsi="Times New Roman"/>
          <w:sz w:val="28"/>
          <w:szCs w:val="28"/>
          <w:lang w:val="de-DE"/>
        </w:rPr>
        <w:t>của cơ quan mình</w:t>
      </w:r>
      <w:r w:rsidR="00181324" w:rsidRPr="00895EB0">
        <w:rPr>
          <w:rFonts w:ascii="Times New Roman" w:hAnsi="Times New Roman"/>
          <w:color w:val="000000"/>
          <w:sz w:val="28"/>
          <w:szCs w:val="28"/>
          <w:shd w:val="clear" w:color="auto" w:fill="FFFFFF"/>
        </w:rPr>
        <w:t>.</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bookmarkStart w:id="12" w:name="dieu_7"/>
      <w:r w:rsidRPr="00F62B25">
        <w:rPr>
          <w:rFonts w:ascii="Times New Roman" w:hAnsi="Times New Roman"/>
          <w:b/>
          <w:bCs/>
          <w:color w:val="000000"/>
          <w:sz w:val="28"/>
          <w:szCs w:val="28"/>
        </w:rPr>
        <w:t>Điều 7. Thuế suất thuế tài nguyên</w:t>
      </w:r>
      <w:bookmarkEnd w:id="12"/>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iCs/>
          <w:color w:val="000000"/>
          <w:sz w:val="28"/>
          <w:szCs w:val="28"/>
        </w:rPr>
        <w:t>1.</w:t>
      </w:r>
      <w:bookmarkStart w:id="13" w:name="_ftnref6"/>
      <w:bookmarkEnd w:id="13"/>
      <w:r w:rsidR="008022BC" w:rsidRPr="00F62B25">
        <w:rPr>
          <w:rStyle w:val="FootnoteReference"/>
          <w:rFonts w:ascii="Times New Roman" w:hAnsi="Times New Roman"/>
          <w:iCs/>
          <w:color w:val="000000"/>
          <w:sz w:val="28"/>
          <w:szCs w:val="28"/>
        </w:rPr>
        <w:footnoteReference w:id="24"/>
      </w:r>
      <w:r w:rsidRPr="00F62B25">
        <w:rPr>
          <w:rFonts w:ascii="Times New Roman" w:hAnsi="Times New Roman"/>
          <w:iCs/>
          <w:color w:val="000000"/>
          <w:sz w:val="28"/>
          <w:szCs w:val="28"/>
        </w:rPr>
        <w:t> Thuế suất thuế tài nguyên làm căn cứ tính thuế tài nguyên đối với từng loại tài nguyên khai thác được quy định tại Biểu mức thuế suất thuế tài nguyên ban hành kèm theo Nghị quyết số 1084/2015/UBTVQH13 ngày 10 tháng 12 năm 2015 của Ủy ban thường vụ Quốc hội và các văn bản sửa đổi, bổ sung (nếu có)</w:t>
      </w:r>
      <w:r w:rsidR="008022BC" w:rsidRPr="00F62B25">
        <w:rPr>
          <w:rFonts w:ascii="Times New Roman" w:hAnsi="Times New Roman"/>
          <w:iCs/>
          <w:color w:val="000000"/>
          <w:sz w:val="28"/>
          <w:szCs w:val="28"/>
        </w:rPr>
        <w:t>.</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2. Việc áp dụng thuế suất thuế tài nguyên đối với nước khoáng thiên nhiên, nước nóng thiên nhiên, nước thiên nhiên tinh lọc đóng chai, đóng hộp, nước thiên nhiên khai thác, sử dụng trong một số trường hợp được xác định như sau:</w:t>
      </w:r>
    </w:p>
    <w:p w:rsidR="001649E8" w:rsidRP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a) Nước khoáng thiên nhiên, nước nóng thiên nhiên, nước thiên nhiên tinh lọc đóng chai, đóng hộp (kể cả đóng bình, đóng thùng có thể chiết ra thành chai, thành hộp) đều áp dụng cùng mức thuế suất thuế tài nguyên như loại được đóng chai, đóng hộp;</w:t>
      </w:r>
    </w:p>
    <w:p w:rsidR="00F62B25" w:rsidRDefault="001649E8" w:rsidP="00F62B25">
      <w:pPr>
        <w:pStyle w:val="NormalWeb"/>
        <w:shd w:val="clear" w:color="auto" w:fill="FFFFFF"/>
        <w:spacing w:after="120" w:line="240" w:lineRule="auto"/>
        <w:ind w:firstLine="709"/>
        <w:jc w:val="both"/>
        <w:rPr>
          <w:rFonts w:ascii="Times New Roman" w:hAnsi="Times New Roman"/>
          <w:color w:val="000000"/>
          <w:sz w:val="28"/>
          <w:szCs w:val="28"/>
        </w:rPr>
      </w:pPr>
      <w:r w:rsidRPr="00F62B25">
        <w:rPr>
          <w:rFonts w:ascii="Times New Roman" w:hAnsi="Times New Roman"/>
          <w:color w:val="000000"/>
          <w:sz w:val="28"/>
          <w:szCs w:val="28"/>
        </w:rPr>
        <w:t>b) Nước thiên nhiên dùng cho sản xuất thủy điện, nước thiên nhiên dùng cho sản xuất kinh doanh có lẫn nước khoáng thiên nhiên, nước nóng thiên nhiên mà theo hồ sơ thiết kế, quy trình công nghệ sản xuất, cung ứng dịch vụ đã được cơ quan thẩm quyền phê duyệt xác định không thuộc diện sản xuất kinh doanh sản phẩm nước khoáng thiên nhiên, nước nóng thiên nhiên, nước thiên nhiên tinh lọc đóng chai, đóng hộp thì áp dụng mức thuế suất thuế tài nguyên theo mục đích sử dụng tương ứng</w:t>
      </w:r>
      <w:r w:rsidRPr="002D165A">
        <w:rPr>
          <w:rFonts w:ascii="Times New Roman" w:hAnsi="Times New Roman"/>
          <w:color w:val="000000"/>
          <w:sz w:val="28"/>
          <w:szCs w:val="28"/>
        </w:rPr>
        <w:t>.</w:t>
      </w:r>
    </w:p>
    <w:p w:rsidR="001649E8" w:rsidRPr="002D165A" w:rsidRDefault="001649E8" w:rsidP="00F62B25">
      <w:pPr>
        <w:pStyle w:val="NormalWeb"/>
        <w:shd w:val="clear" w:color="auto" w:fill="FFFFFF"/>
        <w:spacing w:before="0" w:after="0" w:line="240" w:lineRule="auto"/>
        <w:ind w:firstLine="567"/>
        <w:jc w:val="center"/>
        <w:rPr>
          <w:rFonts w:ascii="Times New Roman" w:hAnsi="Times New Roman"/>
          <w:color w:val="000000"/>
          <w:sz w:val="28"/>
          <w:szCs w:val="28"/>
        </w:rPr>
      </w:pPr>
      <w:bookmarkStart w:id="14" w:name="chuong_3"/>
      <w:r w:rsidRPr="002D165A">
        <w:rPr>
          <w:rFonts w:ascii="Times New Roman" w:hAnsi="Times New Roman"/>
          <w:b/>
          <w:bCs/>
          <w:color w:val="000000"/>
          <w:sz w:val="28"/>
          <w:szCs w:val="28"/>
        </w:rPr>
        <w:t>Chương III</w:t>
      </w:r>
      <w:bookmarkEnd w:id="14"/>
    </w:p>
    <w:p w:rsidR="001649E8" w:rsidRDefault="001649E8" w:rsidP="00F62B25">
      <w:pPr>
        <w:pStyle w:val="NormalWeb"/>
        <w:shd w:val="clear" w:color="auto" w:fill="FFFFFF"/>
        <w:spacing w:before="0" w:after="0" w:line="240" w:lineRule="auto"/>
        <w:jc w:val="center"/>
        <w:rPr>
          <w:rFonts w:ascii="Times New Roman" w:hAnsi="Times New Roman"/>
          <w:b/>
          <w:bCs/>
          <w:color w:val="000000"/>
          <w:sz w:val="26"/>
          <w:szCs w:val="26"/>
        </w:rPr>
      </w:pPr>
      <w:bookmarkStart w:id="15" w:name="chuong_3_name"/>
      <w:r w:rsidRPr="008022BC">
        <w:rPr>
          <w:rFonts w:ascii="Times New Roman" w:hAnsi="Times New Roman"/>
          <w:b/>
          <w:bCs/>
          <w:color w:val="000000"/>
          <w:sz w:val="26"/>
          <w:szCs w:val="26"/>
        </w:rPr>
        <w:t>ĐĂNG KÝ, KHAI THUẾ, NỘP THUẾ, QUYẾT TOÁN THUẾ</w:t>
      </w:r>
      <w:bookmarkEnd w:id="15"/>
    </w:p>
    <w:p w:rsidR="00F62B25" w:rsidRPr="00F62B25" w:rsidRDefault="00F62B25" w:rsidP="00F62B25">
      <w:pPr>
        <w:pStyle w:val="NormalWeb"/>
        <w:shd w:val="clear" w:color="auto" w:fill="FFFFFF"/>
        <w:spacing w:before="0" w:after="0" w:line="240" w:lineRule="auto"/>
        <w:jc w:val="center"/>
        <w:rPr>
          <w:rFonts w:ascii="Times New Roman" w:hAnsi="Times New Roman"/>
          <w:color w:val="000000"/>
          <w:sz w:val="16"/>
          <w:szCs w:val="16"/>
        </w:rPr>
      </w:pPr>
    </w:p>
    <w:p w:rsidR="001649E8" w:rsidRPr="008022BC" w:rsidRDefault="001649E8" w:rsidP="00C17892">
      <w:pPr>
        <w:pStyle w:val="NormalWeb"/>
        <w:shd w:val="clear" w:color="auto" w:fill="FFFFFF"/>
        <w:spacing w:after="120" w:line="240" w:lineRule="auto"/>
        <w:ind w:firstLine="709"/>
        <w:jc w:val="both"/>
        <w:rPr>
          <w:rFonts w:ascii="Times New Roman" w:hAnsi="Times New Roman"/>
          <w:color w:val="000000"/>
          <w:sz w:val="28"/>
          <w:szCs w:val="28"/>
        </w:rPr>
      </w:pPr>
      <w:bookmarkStart w:id="16" w:name="dieu_8"/>
      <w:r w:rsidRPr="008022BC">
        <w:rPr>
          <w:rFonts w:ascii="Times New Roman" w:hAnsi="Times New Roman"/>
          <w:b/>
          <w:bCs/>
          <w:color w:val="000000"/>
          <w:sz w:val="28"/>
          <w:szCs w:val="28"/>
        </w:rPr>
        <w:t>Điều 8. Đăng ký thuế, khai thuế, nộp thuế, quyết toán thuế</w:t>
      </w:r>
      <w:bookmarkEnd w:id="16"/>
    </w:p>
    <w:p w:rsidR="001649E8" w:rsidRPr="008022BC"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Việc đăng ký thuế, khai thuế, nộp thuế, quyết toán thuế được thực hiện theo quy định của Luật Quản lý thuế, các văn bản hướng dẫn thi hành Luật Quản lý thuế và các văn bản sửa đổi, bổ sung (nếu có).</w:t>
      </w:r>
    </w:p>
    <w:p w:rsidR="001649E8" w:rsidRPr="008022BC" w:rsidRDefault="001649E8" w:rsidP="009336E9">
      <w:pPr>
        <w:pStyle w:val="NormalWeb"/>
        <w:shd w:val="clear" w:color="auto" w:fill="FFFFFF"/>
        <w:spacing w:before="0" w:after="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Riêng việc khai thuế, nộp thuế, quyết toán thuế đối với hoạt động khai thác khoáng sản, ngoài việc thực hiện theo quy định chung, còn thực hiện theo quy định tại </w:t>
      </w:r>
      <w:bookmarkStart w:id="17" w:name="tc_2"/>
      <w:r w:rsidRPr="009336E9">
        <w:rPr>
          <w:rFonts w:ascii="Times New Roman" w:hAnsi="Times New Roman"/>
          <w:sz w:val="28"/>
          <w:szCs w:val="28"/>
        </w:rPr>
        <w:t>Điều 9 Thông tư này</w:t>
      </w:r>
      <w:bookmarkEnd w:id="17"/>
      <w:r w:rsidRPr="009336E9">
        <w:rPr>
          <w:rFonts w:ascii="Times New Roman" w:hAnsi="Times New Roman"/>
          <w:sz w:val="28"/>
          <w:szCs w:val="28"/>
        </w:rPr>
        <w:t>.</w:t>
      </w:r>
    </w:p>
    <w:p w:rsidR="001649E8" w:rsidRPr="008022BC" w:rsidRDefault="001649E8" w:rsidP="009336E9">
      <w:pPr>
        <w:pStyle w:val="NormalWeb"/>
        <w:shd w:val="clear" w:color="auto" w:fill="FFFFFF"/>
        <w:spacing w:before="0" w:after="0" w:line="195" w:lineRule="atLeast"/>
        <w:ind w:firstLine="709"/>
        <w:jc w:val="both"/>
        <w:rPr>
          <w:rFonts w:ascii="Times New Roman" w:hAnsi="Times New Roman"/>
          <w:color w:val="000000"/>
          <w:sz w:val="28"/>
          <w:szCs w:val="28"/>
        </w:rPr>
      </w:pPr>
      <w:bookmarkStart w:id="18" w:name="dieu_9"/>
      <w:r w:rsidRPr="008022BC">
        <w:rPr>
          <w:rFonts w:ascii="Times New Roman" w:hAnsi="Times New Roman"/>
          <w:b/>
          <w:bCs/>
          <w:color w:val="000000"/>
          <w:sz w:val="28"/>
          <w:szCs w:val="28"/>
        </w:rPr>
        <w:t>Điều 9. Khai thuế, quyết toán thuế đối với hoạt động khai thác khoáng sản</w:t>
      </w:r>
      <w:bookmarkEnd w:id="18"/>
    </w:p>
    <w:p w:rsidR="001649E8" w:rsidRPr="008022BC"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lastRenderedPageBreak/>
        <w:t>1. Tổ chức, hộ kinh doanh khai thác tài nguyên có trách nhiệm thông báo với cơ quan thuế về phương pháp xác định giá tính thuế đối với từng loại tài nguyên khai thác, kèm theo hồ sơ khai thuế tài nguyên của tháng đầu tiên có khai thác. Trường hợp thay đổi phương pháp xác định giá tính thuế thì thông báo lại với cơ quan thuế trực tiếp quản lý trong tháng có thay đổi.</w:t>
      </w:r>
    </w:p>
    <w:p w:rsidR="001649E8" w:rsidRPr="008022BC"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2. Hàng tháng, NNT thực hiện khai thuế đối với toàn bộ sản lượng tài nguyên khai thác trong tháng (không phân biệt tồn kho hay đang trong quá trình chế biến).</w:t>
      </w:r>
    </w:p>
    <w:p w:rsidR="00181324"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3. Khi quyết toán thuế, NNT phải lập Bảng kê kèm theo Tờ khai quyết toán thuế năm trong đó kê khai chi tiết sản lượng khai thác trong năm theo từng mỏ tương ứng với Giấy phép được cấp. Số thuế tài nguyên được xác định căn cứ thuế suất của loại tài nguyên khai thác tương ứng với sản lượng và giá tính thuế như sau:</w:t>
      </w:r>
    </w:p>
    <w:p w:rsidR="001649E8" w:rsidRPr="008022BC"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a</w:t>
      </w:r>
      <w:r w:rsidR="00181324">
        <w:rPr>
          <w:rStyle w:val="FootnoteReference"/>
          <w:rFonts w:ascii="Times New Roman" w:hAnsi="Times New Roman"/>
          <w:color w:val="000000"/>
          <w:sz w:val="28"/>
          <w:szCs w:val="28"/>
        </w:rPr>
        <w:footnoteReference w:id="25"/>
      </w:r>
      <w:r w:rsidRPr="008022BC">
        <w:rPr>
          <w:rFonts w:ascii="Times New Roman" w:hAnsi="Times New Roman"/>
          <w:color w:val="000000"/>
          <w:sz w:val="28"/>
          <w:szCs w:val="28"/>
        </w:rPr>
        <w:t>) Sản lượng tài nguyên tính thuế là tổng sản lượng tài nguyên khai thác trong năm, không phân biệt tồn kho hay đang trong quá trình chế biến hoặc vận chuyển.</w:t>
      </w:r>
    </w:p>
    <w:p w:rsidR="001649E8"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Trường hợp trong sản lượng bán ra vừa có sản lượng sản phẩm tài nguyên vừa có sản lượng sản phẩm công nghiệp thì phải quy đổi từ tài nguyên có trong sản lượng sản phẩm tài nguyên và sản phẩm công nghiệp ra sản lượng tài nguyên khai thác theo định mức sử dụng tài nguyên do NNT tự xác định.</w:t>
      </w:r>
    </w:p>
    <w:p w:rsidR="00181324" w:rsidRPr="008022BC" w:rsidRDefault="00075396"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540081">
        <w:rPr>
          <w:rFonts w:ascii="Times New Roman" w:hAnsi="Times New Roman"/>
          <w:color w:val="0D0D0D"/>
          <w:sz w:val="28"/>
          <w:szCs w:val="28"/>
          <w:shd w:val="clear" w:color="auto" w:fill="FFFFFF"/>
        </w:rPr>
        <w:t xml:space="preserve">Trường hợp </w:t>
      </w:r>
      <w:r>
        <w:rPr>
          <w:rFonts w:ascii="Times New Roman" w:hAnsi="Times New Roman"/>
          <w:color w:val="0D0D0D"/>
          <w:sz w:val="28"/>
          <w:szCs w:val="28"/>
          <w:shd w:val="clear" w:color="auto" w:fill="FFFFFF"/>
        </w:rPr>
        <w:t xml:space="preserve">áp dụng </w:t>
      </w:r>
      <w:r w:rsidRPr="00540081">
        <w:rPr>
          <w:rFonts w:ascii="Times New Roman" w:hAnsi="Times New Roman"/>
          <w:color w:val="0D0D0D"/>
          <w:sz w:val="28"/>
          <w:szCs w:val="28"/>
          <w:shd w:val="clear" w:color="auto" w:fill="FFFFFF"/>
        </w:rPr>
        <w:t xml:space="preserve">định mức sử dụng tài nguyên tính trên một đơn vị sản phẩm do </w:t>
      </w:r>
      <w:r>
        <w:rPr>
          <w:rFonts w:ascii="Times New Roman" w:hAnsi="Times New Roman"/>
          <w:color w:val="000000"/>
          <w:sz w:val="28"/>
          <w:szCs w:val="28"/>
        </w:rPr>
        <w:t>người nộp thuế</w:t>
      </w:r>
      <w:r w:rsidRPr="00540081">
        <w:rPr>
          <w:rFonts w:ascii="Times New Roman" w:hAnsi="Times New Roman"/>
          <w:color w:val="0D0D0D"/>
          <w:sz w:val="28"/>
          <w:szCs w:val="28"/>
          <w:shd w:val="clear" w:color="auto" w:fill="FFFFFF"/>
        </w:rPr>
        <w:t xml:space="preserve"> </w:t>
      </w:r>
      <w:r>
        <w:rPr>
          <w:rFonts w:ascii="Times New Roman" w:hAnsi="Times New Roman"/>
          <w:color w:val="0D0D0D"/>
          <w:sz w:val="28"/>
          <w:szCs w:val="28"/>
          <w:shd w:val="clear" w:color="auto" w:fill="FFFFFF"/>
        </w:rPr>
        <w:t>tự xác định</w:t>
      </w:r>
      <w:r w:rsidRPr="00540081">
        <w:rPr>
          <w:rFonts w:ascii="Times New Roman" w:hAnsi="Times New Roman"/>
          <w:color w:val="0D0D0D"/>
          <w:sz w:val="28"/>
          <w:szCs w:val="28"/>
          <w:shd w:val="clear" w:color="auto" w:fill="FFFFFF"/>
        </w:rPr>
        <w:t xml:space="preserve"> </w:t>
      </w:r>
      <w:r>
        <w:rPr>
          <w:rFonts w:ascii="Times New Roman" w:hAnsi="Times New Roman"/>
          <w:color w:val="0D0D0D"/>
          <w:sz w:val="28"/>
          <w:szCs w:val="28"/>
          <w:shd w:val="clear" w:color="auto" w:fill="FFFFFF"/>
        </w:rPr>
        <w:t>tính ra số thuế tài nguyên phải nộp thấp hơn số thuế tài nguyên tính theo</w:t>
      </w:r>
      <w:r w:rsidRPr="00540081">
        <w:rPr>
          <w:rFonts w:ascii="Times New Roman" w:hAnsi="Times New Roman"/>
          <w:color w:val="0D0D0D"/>
          <w:sz w:val="28"/>
          <w:szCs w:val="28"/>
          <w:shd w:val="clear" w:color="auto" w:fill="FFFFFF"/>
        </w:rPr>
        <w:t xml:space="preserve"> định mức sử dụng tài nguyên do Ủy ban nhân dân cấp tỉnh </w:t>
      </w:r>
      <w:r>
        <w:rPr>
          <w:rFonts w:ascii="Times New Roman" w:hAnsi="Times New Roman"/>
          <w:color w:val="0D0D0D"/>
          <w:sz w:val="28"/>
          <w:szCs w:val="28"/>
          <w:shd w:val="clear" w:color="auto" w:fill="FFFFFF"/>
        </w:rPr>
        <w:t xml:space="preserve">đã </w:t>
      </w:r>
      <w:r w:rsidRPr="00540081">
        <w:rPr>
          <w:rFonts w:ascii="Times New Roman" w:hAnsi="Times New Roman"/>
          <w:color w:val="0D0D0D"/>
          <w:sz w:val="28"/>
          <w:szCs w:val="28"/>
          <w:shd w:val="clear" w:color="auto" w:fill="FFFFFF"/>
        </w:rPr>
        <w:t>ban hành đối với cùng một loại tài nguyên thì áp dụng định mức sử dụng tài nguyên do Ủy ban nhân dân cấp tỉnh ban hành</w:t>
      </w:r>
      <w:r w:rsidR="00181324">
        <w:rPr>
          <w:rFonts w:ascii="Times New Roman" w:hAnsi="Times New Roman"/>
          <w:color w:val="0D0D0D"/>
          <w:sz w:val="28"/>
          <w:szCs w:val="28"/>
          <w:shd w:val="clear" w:color="auto" w:fill="FFFFFF"/>
        </w:rPr>
        <w:t>.</w:t>
      </w:r>
    </w:p>
    <w:p w:rsidR="001649E8" w:rsidRDefault="001649E8" w:rsidP="009336E9">
      <w:pPr>
        <w:pStyle w:val="NormalWeb"/>
        <w:shd w:val="clear" w:color="auto" w:fill="FFFFFF"/>
        <w:spacing w:after="120" w:line="195" w:lineRule="atLeast"/>
        <w:ind w:firstLine="709"/>
        <w:jc w:val="both"/>
        <w:rPr>
          <w:rFonts w:ascii="Times New Roman" w:hAnsi="Times New Roman"/>
          <w:color w:val="000000"/>
          <w:sz w:val="28"/>
          <w:szCs w:val="28"/>
        </w:rPr>
      </w:pPr>
      <w:r w:rsidRPr="008022BC">
        <w:rPr>
          <w:rFonts w:ascii="Times New Roman" w:hAnsi="Times New Roman"/>
          <w:color w:val="000000"/>
          <w:sz w:val="28"/>
          <w:szCs w:val="28"/>
        </w:rPr>
        <w:t>b) Giá tính thuế là giá bán bình quân một đơn vị sản phẩm tài nguyên được xác định bằng cách lấy tổng doanh thu bán tài nguyên chia cho tổng sản lượng tài nguyên bán ra tương ứng trong năm.</w:t>
      </w:r>
    </w:p>
    <w:p w:rsidR="00F62B25" w:rsidRPr="00F62B25" w:rsidRDefault="00F62B25" w:rsidP="00F62B25">
      <w:pPr>
        <w:pStyle w:val="NormalWeb"/>
        <w:shd w:val="clear" w:color="auto" w:fill="FFFFFF"/>
        <w:spacing w:before="0" w:after="0" w:line="240" w:lineRule="auto"/>
        <w:ind w:firstLine="709"/>
        <w:jc w:val="both"/>
        <w:rPr>
          <w:rFonts w:ascii="Times New Roman" w:hAnsi="Times New Roman"/>
          <w:color w:val="000000"/>
          <w:sz w:val="16"/>
          <w:szCs w:val="16"/>
        </w:rPr>
      </w:pPr>
    </w:p>
    <w:p w:rsidR="001649E8" w:rsidRPr="008022BC" w:rsidRDefault="001649E8" w:rsidP="00F62B25">
      <w:pPr>
        <w:pStyle w:val="NormalWeb"/>
        <w:shd w:val="clear" w:color="auto" w:fill="FFFFFF"/>
        <w:spacing w:before="0" w:after="0" w:line="240" w:lineRule="auto"/>
        <w:ind w:firstLine="709"/>
        <w:jc w:val="center"/>
        <w:rPr>
          <w:rFonts w:ascii="Times New Roman" w:hAnsi="Times New Roman"/>
          <w:color w:val="000000"/>
          <w:sz w:val="28"/>
          <w:szCs w:val="28"/>
        </w:rPr>
      </w:pPr>
      <w:bookmarkStart w:id="19" w:name="chuong_4"/>
      <w:r w:rsidRPr="008022BC">
        <w:rPr>
          <w:rFonts w:ascii="Times New Roman" w:hAnsi="Times New Roman"/>
          <w:b/>
          <w:bCs/>
          <w:color w:val="000000"/>
          <w:sz w:val="28"/>
          <w:szCs w:val="28"/>
        </w:rPr>
        <w:t>Chương IV</w:t>
      </w:r>
      <w:bookmarkEnd w:id="19"/>
    </w:p>
    <w:p w:rsidR="001649E8" w:rsidRDefault="001649E8" w:rsidP="00F62B25">
      <w:pPr>
        <w:pStyle w:val="NormalWeb"/>
        <w:shd w:val="clear" w:color="auto" w:fill="FFFFFF"/>
        <w:spacing w:before="0" w:after="0" w:line="240" w:lineRule="auto"/>
        <w:ind w:firstLine="709"/>
        <w:jc w:val="center"/>
        <w:rPr>
          <w:rFonts w:ascii="Times New Roman" w:hAnsi="Times New Roman"/>
          <w:b/>
          <w:bCs/>
          <w:color w:val="000000"/>
          <w:sz w:val="26"/>
          <w:szCs w:val="26"/>
        </w:rPr>
      </w:pPr>
      <w:bookmarkStart w:id="20" w:name="chuong_4_name"/>
      <w:r w:rsidRPr="009336E9">
        <w:rPr>
          <w:rFonts w:ascii="Times New Roman" w:hAnsi="Times New Roman"/>
          <w:b/>
          <w:bCs/>
          <w:color w:val="000000"/>
          <w:sz w:val="26"/>
          <w:szCs w:val="26"/>
        </w:rPr>
        <w:t>MIỄN, GIẢM THUẾ TÀI NGUYÊN</w:t>
      </w:r>
      <w:bookmarkEnd w:id="20"/>
    </w:p>
    <w:p w:rsidR="00F62B25" w:rsidRPr="00F62B25" w:rsidRDefault="00F62B25" w:rsidP="00F62B25">
      <w:pPr>
        <w:pStyle w:val="NormalWeb"/>
        <w:shd w:val="clear" w:color="auto" w:fill="FFFFFF"/>
        <w:spacing w:before="0" w:after="0" w:line="240" w:lineRule="auto"/>
        <w:ind w:firstLine="709"/>
        <w:jc w:val="center"/>
        <w:rPr>
          <w:rFonts w:ascii="Times New Roman" w:hAnsi="Times New Roman"/>
          <w:color w:val="000000"/>
          <w:sz w:val="16"/>
          <w:szCs w:val="16"/>
        </w:rPr>
      </w:pP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bookmarkStart w:id="21" w:name="dieu_10"/>
      <w:r w:rsidRPr="009336E9">
        <w:rPr>
          <w:rFonts w:ascii="Times New Roman" w:hAnsi="Times New Roman"/>
          <w:b/>
          <w:bCs/>
          <w:color w:val="000000"/>
          <w:sz w:val="28"/>
          <w:szCs w:val="28"/>
        </w:rPr>
        <w:t>Điều 10. Miễn thuế tài nguyên</w:t>
      </w:r>
      <w:bookmarkEnd w:id="21"/>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Các trường hợp được miễn thuế tài nguyên theo quy định tại Điều 9 Luật thuế tài nguyên và Điều 6, Nghị định số 50/2010/NĐ-CP, bao gồm:</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1. Miễn thuế tài nguyên đối với tổ chức, cá nhân khai thác hải sản tự nhiên.</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lastRenderedPageBreak/>
        <w:t>2. Miễn thuế tài nguyên đối với tổ chức, cá nhân khai thác cành, ngọn, củi, tre, trúc, nứa, mai, giang, tranh, vầu, lồ ô do cá nhân được phép khai thác phục vụ sinh hoạt.</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3. Miễn thuế tài nguyên đối với tổ chức, cá nhân khai thác nước thiên nhiên dùng cho hoạt động sản xuất thủy điện để phục vụ sinh hoạt của hộ gia đình, cá nhân.</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4. Miễn thuế tài nguyên đối với nước thiên nhiên do hộ gia đình, cá nhân khai thác phục vụ sinh hoạt.</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5. Miễn thuế tài nguyên đối với đất do tổ chức, cá nhân được giao, được thuê khai thác và sử dụng tại chỗ trên diện tích đất được giao, được thuê; đất khai thác để san lấp, xây dựng công trình an ninh, quân sự, đê điều.</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Đất khai thác và sử dụng tại chỗ được miễn thuế tại điểm này bao gồm cả cát, đá, sỏi có lẫn trong đất nhưng không xác định được cụ thể từng chất và được sử dụng ở dạng thô để san lấp, xây dựng công trình; Trường hợp vận chuyển đi nơi khác để sử dụng hoặc bán thì phải nộp thuế tài nguyên theo quy định.</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6. Trường hợp khác được miễn thuế tài nguyên, Bộ Tài chính chủ trì phối hợp với các Bộ, ngành liên quan báo cáo Chính phủ để trình Ủy ban thường vụ Quốc hội xem xét, quyết định.</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bookmarkStart w:id="22" w:name="dieu_11"/>
      <w:r w:rsidRPr="009336E9">
        <w:rPr>
          <w:rFonts w:ascii="Times New Roman" w:hAnsi="Times New Roman"/>
          <w:b/>
          <w:bCs/>
          <w:color w:val="000000"/>
          <w:sz w:val="28"/>
          <w:szCs w:val="28"/>
        </w:rPr>
        <w:t>Điều 11. Giảm thuế tài nguyên</w:t>
      </w:r>
      <w:bookmarkEnd w:id="22"/>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Các trường hợp được miễn thuế tài nguyên theo quy định tại Điều 9 Luật thuế tài nguyên và Điều 6, Nghị định số 50/2010/NĐ-CP, bao gồm:</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1. Người nộp thuế tài nguyên gặp thiên tai, hoả hoạn, tai nạn bất ngờ gây tổn thất đến tài nguyên đã kê khai, nộp thuế thì được xét miễn, giảm thuế phải nộp cho số tài nguyên bị tổn thất; trường hợp đã nộp thuế thì được hoàn trả số thuế đã nộp hoặc trừ vào số thuế tài nguyên phải nộp của kỳ sau.</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2. Trường hợp khác được giảm thuế tài nguyên, Bộ Tài chính chủ trì phối hợp với các Bộ, ngành liên quan báo cáo Chính phủ để trình Ủy ban thường vụ Quốc hội xem xét, quyết định.</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bookmarkStart w:id="23" w:name="dieu_12"/>
      <w:r w:rsidRPr="009336E9">
        <w:rPr>
          <w:rFonts w:ascii="Times New Roman" w:hAnsi="Times New Roman"/>
          <w:b/>
          <w:bCs/>
          <w:color w:val="000000"/>
          <w:sz w:val="28"/>
          <w:szCs w:val="28"/>
        </w:rPr>
        <w:t>Điều 12. Trình tự, thủ tục miễn, giảm thuế tài nguyên</w:t>
      </w:r>
      <w:bookmarkEnd w:id="23"/>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Trình tự, thủ tục miễn, giảm thuế tài nguyên, thẩm quyền miễn, giảm thuế tài nguyên được thực hiện theo quy định của Luật Quản lý thuế, Luật sửa đổi, bổ sung một số điều của Luật Quản lý thuế và các văn bản hướng dẫn thi hành.</w:t>
      </w:r>
    </w:p>
    <w:p w:rsidR="001649E8" w:rsidRPr="009336E9" w:rsidRDefault="001649E8" w:rsidP="00F62B25">
      <w:pPr>
        <w:pStyle w:val="NormalWeb"/>
        <w:shd w:val="clear" w:color="auto" w:fill="FFFFFF"/>
        <w:spacing w:before="0" w:after="0" w:line="240" w:lineRule="auto"/>
        <w:ind w:firstLine="709"/>
        <w:jc w:val="center"/>
        <w:rPr>
          <w:rFonts w:ascii="Times New Roman" w:hAnsi="Times New Roman"/>
          <w:color w:val="000000"/>
          <w:sz w:val="28"/>
          <w:szCs w:val="28"/>
        </w:rPr>
      </w:pPr>
      <w:bookmarkStart w:id="24" w:name="chuong_5"/>
      <w:r w:rsidRPr="009336E9">
        <w:rPr>
          <w:rFonts w:ascii="Times New Roman" w:hAnsi="Times New Roman"/>
          <w:b/>
          <w:bCs/>
          <w:color w:val="000000"/>
          <w:sz w:val="28"/>
          <w:szCs w:val="28"/>
        </w:rPr>
        <w:t>Chương V</w:t>
      </w:r>
      <w:bookmarkEnd w:id="24"/>
    </w:p>
    <w:p w:rsidR="001649E8" w:rsidRPr="009336E9" w:rsidRDefault="001649E8" w:rsidP="00F62B25">
      <w:pPr>
        <w:pStyle w:val="NormalWeb"/>
        <w:shd w:val="clear" w:color="auto" w:fill="FFFFFF"/>
        <w:spacing w:before="0" w:after="0" w:line="240" w:lineRule="auto"/>
        <w:ind w:firstLine="709"/>
        <w:jc w:val="center"/>
        <w:rPr>
          <w:rFonts w:ascii="Times New Roman" w:hAnsi="Times New Roman"/>
          <w:color w:val="000000"/>
          <w:sz w:val="26"/>
          <w:szCs w:val="26"/>
        </w:rPr>
      </w:pPr>
      <w:bookmarkStart w:id="25" w:name="chuong_5_name"/>
      <w:r w:rsidRPr="009336E9">
        <w:rPr>
          <w:rFonts w:ascii="Times New Roman" w:hAnsi="Times New Roman"/>
          <w:b/>
          <w:bCs/>
          <w:color w:val="000000"/>
          <w:sz w:val="26"/>
          <w:szCs w:val="26"/>
        </w:rPr>
        <w:t>TỔ CHỨC THỰC HIỆN</w:t>
      </w:r>
      <w:bookmarkEnd w:id="25"/>
    </w:p>
    <w:p w:rsidR="001649E8" w:rsidRPr="00F2582F"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bookmarkStart w:id="26" w:name="dieu_13"/>
      <w:r w:rsidRPr="00BA2561">
        <w:rPr>
          <w:rFonts w:ascii="Times New Roman" w:hAnsi="Times New Roman"/>
          <w:b/>
          <w:bCs/>
          <w:iCs/>
          <w:color w:val="000000"/>
          <w:sz w:val="28"/>
          <w:szCs w:val="28"/>
        </w:rPr>
        <w:t>Điều 13. Tổ chức thực hiện</w:t>
      </w:r>
      <w:bookmarkStart w:id="27" w:name="_ftnref7"/>
      <w:bookmarkEnd w:id="26"/>
      <w:bookmarkEnd w:id="27"/>
      <w:r w:rsidR="00BA2561" w:rsidRPr="00F2582F">
        <w:rPr>
          <w:rStyle w:val="FootnoteReference"/>
          <w:rFonts w:ascii="Times New Roman" w:hAnsi="Times New Roman"/>
          <w:bCs/>
          <w:iCs/>
          <w:color w:val="000000"/>
          <w:sz w:val="28"/>
          <w:szCs w:val="28"/>
        </w:rPr>
        <w:footnoteReference w:id="26"/>
      </w:r>
    </w:p>
    <w:p w:rsidR="00F83012" w:rsidRPr="00A11A7B" w:rsidRDefault="00F83012" w:rsidP="00F62B25">
      <w:pPr>
        <w:spacing w:before="120" w:after="120" w:line="240" w:lineRule="auto"/>
        <w:ind w:firstLine="709"/>
        <w:jc w:val="both"/>
        <w:rPr>
          <w:rFonts w:ascii="Times New Roman" w:hAnsi="Times New Roman"/>
          <w:iCs/>
          <w:sz w:val="28"/>
          <w:szCs w:val="28"/>
          <w:lang w:val="de-DE"/>
        </w:rPr>
      </w:pPr>
      <w:r w:rsidRPr="00A11A7B">
        <w:rPr>
          <w:rFonts w:ascii="Times New Roman" w:hAnsi="Times New Roman"/>
          <w:sz w:val="28"/>
          <w:szCs w:val="28"/>
          <w:lang w:val="de-DE"/>
        </w:rPr>
        <w:lastRenderedPageBreak/>
        <w:t>1</w:t>
      </w:r>
      <w:r w:rsidR="00A11A7B" w:rsidRPr="00A11A7B">
        <w:rPr>
          <w:rStyle w:val="FootnoteReference"/>
          <w:rFonts w:ascii="Times New Roman" w:hAnsi="Times New Roman"/>
          <w:sz w:val="28"/>
          <w:szCs w:val="28"/>
          <w:lang w:val="de-DE"/>
        </w:rPr>
        <w:footnoteReference w:id="27"/>
      </w:r>
      <w:r w:rsidRPr="00A11A7B">
        <w:rPr>
          <w:rFonts w:ascii="Times New Roman" w:hAnsi="Times New Roman"/>
          <w:iCs/>
          <w:sz w:val="28"/>
          <w:szCs w:val="28"/>
          <w:lang w:val="de-DE"/>
        </w:rPr>
        <w:t>. Uỷ ban nhân dân cấp tỉnh có trách nhiệm:</w:t>
      </w:r>
    </w:p>
    <w:p w:rsidR="00F83012" w:rsidRPr="00A11A7B" w:rsidRDefault="00F83012" w:rsidP="00F62B25">
      <w:pPr>
        <w:spacing w:before="120" w:after="120" w:line="240" w:lineRule="auto"/>
        <w:ind w:firstLine="709"/>
        <w:jc w:val="both"/>
        <w:rPr>
          <w:rFonts w:ascii="Times New Roman" w:hAnsi="Times New Roman"/>
          <w:iCs/>
          <w:sz w:val="28"/>
          <w:szCs w:val="28"/>
          <w:lang w:val="de-DE"/>
        </w:rPr>
      </w:pPr>
      <w:r w:rsidRPr="00A11A7B">
        <w:rPr>
          <w:rFonts w:ascii="Times New Roman" w:hAnsi="Times New Roman"/>
          <w:iCs/>
          <w:sz w:val="28"/>
          <w:szCs w:val="28"/>
          <w:lang w:val="de-DE"/>
        </w:rPr>
        <w:t>a) Chỉ đạo Sở Tài chính chủ trì, phối hợp với các cơ quan liên quan</w:t>
      </w:r>
      <w:r w:rsidR="00E32947">
        <w:rPr>
          <w:rFonts w:ascii="Times New Roman" w:hAnsi="Times New Roman"/>
          <w:iCs/>
          <w:sz w:val="28"/>
          <w:szCs w:val="28"/>
          <w:lang w:val="de-DE"/>
        </w:rPr>
        <w:t>:</w:t>
      </w:r>
      <w:r w:rsidRPr="00A11A7B">
        <w:rPr>
          <w:rFonts w:ascii="Times New Roman" w:hAnsi="Times New Roman"/>
          <w:iCs/>
          <w:sz w:val="28"/>
          <w:szCs w:val="28"/>
          <w:lang w:val="de-DE"/>
        </w:rPr>
        <w:t xml:space="preserve"> xây dựng Bảng giá tính thuế tài nguyên áp dụng tại địa phương; rà soát</w:t>
      </w:r>
      <w:r w:rsidR="00CF3C9F" w:rsidRPr="00CF3C9F">
        <w:rPr>
          <w:rFonts w:ascii="Times New Roman" w:hAnsi="Times New Roman"/>
          <w:iCs/>
          <w:sz w:val="28"/>
          <w:szCs w:val="28"/>
          <w:lang w:val="de-DE"/>
        </w:rPr>
        <w:t xml:space="preserve"> </w:t>
      </w:r>
      <w:r w:rsidR="00CF3C9F" w:rsidRPr="00A11A7B">
        <w:rPr>
          <w:rFonts w:ascii="Times New Roman" w:hAnsi="Times New Roman"/>
          <w:iCs/>
          <w:sz w:val="28"/>
          <w:szCs w:val="28"/>
          <w:lang w:val="de-DE"/>
        </w:rPr>
        <w:t>biến động của thị trường</w:t>
      </w:r>
      <w:r w:rsidR="00CF3C9F">
        <w:rPr>
          <w:rFonts w:ascii="Times New Roman" w:hAnsi="Times New Roman"/>
          <w:iCs/>
          <w:sz w:val="28"/>
          <w:szCs w:val="28"/>
          <w:lang w:val="de-DE"/>
        </w:rPr>
        <w:t xml:space="preserve"> để</w:t>
      </w:r>
      <w:r w:rsidRPr="00A11A7B">
        <w:rPr>
          <w:rFonts w:ascii="Times New Roman" w:hAnsi="Times New Roman"/>
          <w:iCs/>
          <w:sz w:val="28"/>
          <w:szCs w:val="28"/>
          <w:lang w:val="de-DE"/>
        </w:rPr>
        <w:t xml:space="preserve"> điều chỉnh Bảng giá tính thuế tài nguyên phù hợp với </w:t>
      </w:r>
      <w:r w:rsidR="00CF3C9F">
        <w:rPr>
          <w:rFonts w:ascii="Times New Roman" w:hAnsi="Times New Roman"/>
          <w:iCs/>
          <w:sz w:val="28"/>
          <w:szCs w:val="28"/>
          <w:lang w:val="de-DE"/>
        </w:rPr>
        <w:t>quy định</w:t>
      </w:r>
      <w:r w:rsidRPr="00A11A7B">
        <w:rPr>
          <w:rFonts w:ascii="Times New Roman" w:hAnsi="Times New Roman"/>
          <w:iCs/>
          <w:sz w:val="28"/>
          <w:szCs w:val="28"/>
          <w:lang w:val="de-DE"/>
        </w:rPr>
        <w:t>.</w:t>
      </w:r>
    </w:p>
    <w:p w:rsidR="00F83012" w:rsidRPr="009336E9" w:rsidRDefault="00F83012"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A11A7B">
        <w:rPr>
          <w:rFonts w:ascii="Times New Roman" w:hAnsi="Times New Roman"/>
          <w:iCs/>
          <w:sz w:val="28"/>
          <w:szCs w:val="28"/>
          <w:lang w:val="de-DE"/>
        </w:rPr>
        <w:t>b) Chỉ đạo các cơ quan thuế, tài chính, nông nghiệp và môi trường và các cơ quan có liên quan phối hợp thực hiện quản lý thuế tài nguyên theo hướng dẫn tại Thông tư này.</w:t>
      </w:r>
    </w:p>
    <w:p w:rsidR="001649E8" w:rsidRPr="009336E9" w:rsidRDefault="001649E8" w:rsidP="00F62B25">
      <w:pPr>
        <w:pStyle w:val="NormalWeb"/>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2. Thông tư này có hiệu lực thi hành từ ngày 20/11/2015 thay thế Thông tư số 105/2010/TT-BTC ngày 23/7/2010 của Bộ Tài chính.</w:t>
      </w:r>
    </w:p>
    <w:p w:rsidR="00212FF4" w:rsidRDefault="001649E8" w:rsidP="00F62B25">
      <w:pPr>
        <w:pStyle w:val="NormalWeb"/>
        <w:pBdr>
          <w:bottom w:val="single" w:sz="12" w:space="1" w:color="auto"/>
        </w:pBdr>
        <w:shd w:val="clear" w:color="auto" w:fill="FFFFFF"/>
        <w:spacing w:after="120" w:line="195" w:lineRule="atLeast"/>
        <w:ind w:firstLine="709"/>
        <w:jc w:val="both"/>
        <w:rPr>
          <w:rFonts w:ascii="Times New Roman" w:hAnsi="Times New Roman"/>
          <w:color w:val="000000"/>
          <w:sz w:val="28"/>
          <w:szCs w:val="28"/>
        </w:rPr>
      </w:pPr>
      <w:r w:rsidRPr="009336E9">
        <w:rPr>
          <w:rFonts w:ascii="Times New Roman" w:hAnsi="Times New Roman"/>
          <w:color w:val="000000"/>
          <w:sz w:val="28"/>
          <w:szCs w:val="28"/>
        </w:rPr>
        <w:t>Trong quá trình thực hiện, nếu có khó khăn vướng mắc đề nghị các tổ chức, cá nhân phản ánh kịp thời về Bộ Tài chính để được nghiên cứu giải quyết kịp thời./.</w:t>
      </w:r>
    </w:p>
    <w:p w:rsidR="008A45E8" w:rsidRPr="001649E8" w:rsidRDefault="008A45E8" w:rsidP="00BA2561">
      <w:pPr>
        <w:pStyle w:val="NormalWeb"/>
        <w:pBdr>
          <w:bottom w:val="single" w:sz="12" w:space="1" w:color="auto"/>
        </w:pBdr>
        <w:shd w:val="clear" w:color="auto" w:fill="FFFFFF"/>
        <w:spacing w:after="120" w:line="195" w:lineRule="atLeast"/>
        <w:ind w:firstLine="709"/>
        <w:jc w:val="both"/>
        <w:rPr>
          <w:rFonts w:ascii="Times New Roman" w:hAnsi="Times New Roman"/>
          <w:i/>
          <w:iCs/>
          <w:sz w:val="28"/>
          <w:szCs w:val="28"/>
          <w:lang w:val="nl-NL"/>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gridCol w:w="4320"/>
      </w:tblGrid>
      <w:tr w:rsidR="00EC1C76" w:rsidTr="00EC1C76">
        <w:tc>
          <w:tcPr>
            <w:tcW w:w="5508" w:type="dxa"/>
          </w:tcPr>
          <w:p w:rsidR="00EC1C76" w:rsidRDefault="00EC1C76" w:rsidP="00A11A7B">
            <w:pPr>
              <w:shd w:val="clear" w:color="auto" w:fill="FFFFFF"/>
              <w:spacing w:after="0" w:line="240" w:lineRule="auto"/>
              <w:rPr>
                <w:rFonts w:ascii="Times New Roman" w:eastAsia="Times New Roman" w:hAnsi="Times New Roman"/>
                <w:b/>
                <w:bCs/>
                <w:i/>
                <w:iCs/>
                <w:color w:val="000000"/>
              </w:rPr>
            </w:pPr>
          </w:p>
          <w:p w:rsidR="00EC1C76" w:rsidRPr="008A45E8" w:rsidRDefault="00EC1C76" w:rsidP="00A11A7B">
            <w:pPr>
              <w:shd w:val="clear" w:color="auto" w:fill="FFFFFF"/>
              <w:spacing w:after="0" w:line="240" w:lineRule="auto"/>
              <w:rPr>
                <w:rFonts w:ascii="Times New Roman" w:eastAsia="Times New Roman" w:hAnsi="Times New Roman"/>
                <w:color w:val="000000"/>
              </w:rPr>
            </w:pPr>
            <w:r w:rsidRPr="008A45E8">
              <w:rPr>
                <w:rFonts w:ascii="Times New Roman" w:eastAsia="Times New Roman" w:hAnsi="Times New Roman"/>
                <w:b/>
                <w:bCs/>
                <w:i/>
                <w:iCs/>
                <w:color w:val="000000"/>
              </w:rPr>
              <w:t>Nơi nh</w:t>
            </w:r>
            <w:r w:rsidRPr="008A45E8">
              <w:rPr>
                <w:rFonts w:ascii="Times New Roman" w:eastAsia="Times New Roman" w:hAnsi="Times New Roman"/>
                <w:b/>
                <w:bCs/>
                <w:i/>
                <w:iCs/>
                <w:color w:val="000000"/>
                <w:lang w:val="vi-VN"/>
              </w:rPr>
              <w:t>ận:</w:t>
            </w:r>
          </w:p>
          <w:p w:rsidR="00EC1C76" w:rsidRDefault="00EC1C76" w:rsidP="00A11A7B">
            <w:pPr>
              <w:shd w:val="clear" w:color="auto" w:fill="FFFFFF"/>
              <w:spacing w:after="0" w:line="240" w:lineRule="auto"/>
              <w:rPr>
                <w:rFonts w:ascii="Times New Roman" w:eastAsia="Times New Roman" w:hAnsi="Times New Roman"/>
                <w:color w:val="000000"/>
              </w:rPr>
            </w:pPr>
            <w:r w:rsidRPr="008A45E8">
              <w:rPr>
                <w:rFonts w:ascii="Times New Roman" w:eastAsia="Times New Roman" w:hAnsi="Times New Roman"/>
                <w:color w:val="000000"/>
              </w:rPr>
              <w:t>- Văn phòng Chính ph</w:t>
            </w:r>
            <w:r w:rsidRPr="008A45E8">
              <w:rPr>
                <w:rFonts w:ascii="Times New Roman" w:eastAsia="Times New Roman" w:hAnsi="Times New Roman"/>
                <w:color w:val="000000"/>
                <w:lang w:val="vi-VN"/>
              </w:rPr>
              <w:t xml:space="preserve">ủ </w:t>
            </w:r>
            <w:r>
              <w:rPr>
                <w:rFonts w:ascii="Times New Roman" w:eastAsia="Times New Roman" w:hAnsi="Times New Roman"/>
                <w:color w:val="000000"/>
              </w:rPr>
              <w:t>(</w:t>
            </w:r>
            <w:r w:rsidRPr="008A45E8">
              <w:rPr>
                <w:rFonts w:ascii="Times New Roman" w:eastAsia="Times New Roman" w:hAnsi="Times New Roman"/>
                <w:color w:val="000000"/>
                <w:lang w:val="vi-VN"/>
              </w:rPr>
              <w:t>để đăng C</w:t>
            </w:r>
            <w:r w:rsidRPr="008A45E8">
              <w:rPr>
                <w:rFonts w:ascii="Times New Roman" w:eastAsia="Times New Roman" w:hAnsi="Times New Roman"/>
                <w:color w:val="000000"/>
              </w:rPr>
              <w:t>ông báo);</w:t>
            </w:r>
          </w:p>
          <w:p w:rsidR="00EC1C76" w:rsidRDefault="00EC1C76" w:rsidP="00A11A7B">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 Bộ Tư pháp (để theo dõi);</w:t>
            </w:r>
          </w:p>
          <w:p w:rsidR="00EC1C76" w:rsidRPr="008A45E8" w:rsidRDefault="00EC1C76" w:rsidP="00A11A7B">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 UBND các tỉnh, thành phố trực thuộc trung ương;</w:t>
            </w:r>
          </w:p>
          <w:p w:rsidR="00EC1C76" w:rsidRDefault="00EC1C76" w:rsidP="001A549A">
            <w:pPr>
              <w:shd w:val="clear" w:color="auto" w:fill="FFFFFF"/>
              <w:spacing w:after="0" w:line="240" w:lineRule="auto"/>
              <w:rPr>
                <w:rFonts w:ascii="Times New Roman" w:eastAsia="Times New Roman" w:hAnsi="Times New Roman"/>
                <w:color w:val="000000"/>
              </w:rPr>
            </w:pPr>
            <w:r w:rsidRPr="008A45E8">
              <w:rPr>
                <w:rFonts w:ascii="Times New Roman" w:eastAsia="Times New Roman" w:hAnsi="Times New Roman"/>
                <w:color w:val="000000"/>
              </w:rPr>
              <w:t xml:space="preserve">- </w:t>
            </w:r>
            <w:r>
              <w:rPr>
                <w:rFonts w:ascii="Times New Roman" w:eastAsia="Times New Roman" w:hAnsi="Times New Roman"/>
                <w:color w:val="000000"/>
              </w:rPr>
              <w:t>Cổng thông tin điện tử Chính phủ (để đăng tải);</w:t>
            </w:r>
          </w:p>
          <w:p w:rsidR="00EC1C76" w:rsidRDefault="00EC1C76" w:rsidP="001A549A">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 Cổng thông tin điện tử Bộ Tài chính (để đăng tải);</w:t>
            </w:r>
          </w:p>
          <w:p w:rsidR="00EC1C76" w:rsidRDefault="00EC1C76" w:rsidP="001A549A">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 Vụ Pháp chế - Bộ Tài chính (để đăng trên CSDL Quốc gia về PL);</w:t>
            </w:r>
          </w:p>
          <w:p w:rsidR="00EC1C76" w:rsidRPr="008A45E8" w:rsidRDefault="00EC1C76" w:rsidP="001A549A">
            <w:pPr>
              <w:shd w:val="clear" w:color="auto" w:fill="FFFFFF"/>
              <w:spacing w:after="0" w:line="240" w:lineRule="auto"/>
              <w:rPr>
                <w:rFonts w:ascii="Times New Roman" w:eastAsia="Times New Roman" w:hAnsi="Times New Roman"/>
                <w:color w:val="000000"/>
              </w:rPr>
            </w:pPr>
            <w:r>
              <w:rPr>
                <w:rFonts w:ascii="Times New Roman" w:eastAsia="Times New Roman" w:hAnsi="Times New Roman"/>
                <w:color w:val="000000"/>
              </w:rPr>
              <w:t>- Cục Thuế;</w:t>
            </w:r>
          </w:p>
          <w:p w:rsidR="00EC1C76" w:rsidRPr="008A45E8" w:rsidRDefault="00EC1C76" w:rsidP="00A11A7B">
            <w:pPr>
              <w:shd w:val="clear" w:color="auto" w:fill="FFFFFF"/>
              <w:spacing w:after="0" w:line="240" w:lineRule="auto"/>
              <w:rPr>
                <w:rFonts w:ascii="Times New Roman" w:eastAsia="Times New Roman" w:hAnsi="Times New Roman"/>
                <w:color w:val="000000"/>
              </w:rPr>
            </w:pPr>
            <w:r w:rsidRPr="008A45E8">
              <w:rPr>
                <w:rFonts w:ascii="Times New Roman" w:eastAsia="Times New Roman" w:hAnsi="Times New Roman"/>
                <w:color w:val="000000"/>
              </w:rPr>
              <w:t xml:space="preserve">- Lưu: VT </w:t>
            </w:r>
            <w:r>
              <w:rPr>
                <w:rFonts w:ascii="Times New Roman" w:eastAsia="Times New Roman" w:hAnsi="Times New Roman"/>
                <w:color w:val="000000"/>
              </w:rPr>
              <w:t>, Cục CST</w:t>
            </w:r>
            <w:r w:rsidRPr="008A45E8">
              <w:rPr>
                <w:rFonts w:ascii="Times New Roman" w:eastAsia="Times New Roman" w:hAnsi="Times New Roman"/>
                <w:color w:val="000000"/>
              </w:rPr>
              <w:t xml:space="preserve"> (</w:t>
            </w:r>
            <w:r>
              <w:rPr>
                <w:rFonts w:ascii="Times New Roman" w:eastAsia="Times New Roman" w:hAnsi="Times New Roman"/>
                <w:color w:val="000000"/>
              </w:rPr>
              <w:t xml:space="preserve">      b</w:t>
            </w:r>
            <w:r w:rsidRPr="008A45E8">
              <w:rPr>
                <w:rFonts w:ascii="Times New Roman" w:eastAsia="Times New Roman" w:hAnsi="Times New Roman"/>
                <w:color w:val="000000"/>
                <w:lang w:val="vi-VN"/>
              </w:rPr>
              <w:t>).</w:t>
            </w:r>
          </w:p>
          <w:p w:rsidR="00EC1C76" w:rsidRPr="008A45E8" w:rsidRDefault="00EC1C76" w:rsidP="00B13EB4">
            <w:pPr>
              <w:widowControl w:val="0"/>
              <w:spacing w:before="120" w:after="120" w:line="240" w:lineRule="auto"/>
              <w:jc w:val="both"/>
              <w:rPr>
                <w:rFonts w:ascii="Times New Roman" w:eastAsia="Times New Roman" w:hAnsi="Times New Roman"/>
                <w:lang w:val="nl-NL"/>
              </w:rPr>
            </w:pPr>
          </w:p>
        </w:tc>
        <w:tc>
          <w:tcPr>
            <w:tcW w:w="4320" w:type="dxa"/>
          </w:tcPr>
          <w:p w:rsidR="00EC1C76" w:rsidRDefault="00EC1C76" w:rsidP="001A549A">
            <w:pPr>
              <w:widowControl w:val="0"/>
              <w:spacing w:after="0" w:line="240" w:lineRule="auto"/>
              <w:jc w:val="center"/>
              <w:rPr>
                <w:rFonts w:ascii="Times New Roman" w:hAnsi="Times New Roman"/>
                <w:b/>
                <w:bCs/>
                <w:color w:val="000000"/>
                <w:sz w:val="26"/>
                <w:szCs w:val="26"/>
                <w:shd w:val="clear" w:color="auto" w:fill="FFFFFF"/>
              </w:rPr>
            </w:pPr>
            <w:r>
              <w:rPr>
                <w:rFonts w:ascii="Times New Roman" w:hAnsi="Times New Roman"/>
                <w:b/>
                <w:bCs/>
                <w:color w:val="000000"/>
                <w:sz w:val="26"/>
                <w:szCs w:val="26"/>
                <w:shd w:val="clear" w:color="auto" w:fill="FFFFFF"/>
              </w:rPr>
              <w:t>BỘ TÀI CHÍNH</w:t>
            </w:r>
          </w:p>
          <w:p w:rsidR="00EC1C76" w:rsidRPr="001A549A" w:rsidRDefault="007F1ADA" w:rsidP="001A549A">
            <w:pPr>
              <w:widowControl w:val="0"/>
              <w:spacing w:after="0" w:line="240" w:lineRule="auto"/>
              <w:jc w:val="center"/>
              <w:rPr>
                <w:rFonts w:ascii="Times New Roman" w:hAnsi="Times New Roman"/>
                <w:b/>
                <w:bCs/>
                <w:color w:val="000000"/>
                <w:sz w:val="16"/>
                <w:szCs w:val="16"/>
                <w:shd w:val="clear" w:color="auto" w:fill="FFFFFF"/>
              </w:rPr>
            </w:pPr>
            <w:r w:rsidRPr="007F1ADA">
              <w:rPr>
                <w:rFonts w:ascii="Times New Roman" w:hAnsi="Times New Roman"/>
                <w:b/>
                <w:bCs/>
                <w:noProof/>
                <w:color w:val="000000"/>
                <w:sz w:val="26"/>
                <w:szCs w:val="26"/>
              </w:rPr>
              <w:pict>
                <v:shape id="_x0000_s2054" type="#_x0000_t32" style="position:absolute;left:0;text-align:left;margin-left:83.35pt;margin-top:2.6pt;width:46.1pt;height:0;z-index:251661824" o:connectortype="straight"/>
              </w:pict>
            </w:r>
          </w:p>
          <w:p w:rsidR="00EC1C76" w:rsidRPr="008A45E8" w:rsidRDefault="00EC1C76" w:rsidP="001A549A">
            <w:pPr>
              <w:widowControl w:val="0"/>
              <w:spacing w:after="0" w:line="240" w:lineRule="auto"/>
              <w:jc w:val="center"/>
              <w:rPr>
                <w:rFonts w:ascii="Times New Roman" w:hAnsi="Times New Roman"/>
                <w:b/>
                <w:bCs/>
                <w:color w:val="000000"/>
                <w:sz w:val="26"/>
                <w:szCs w:val="26"/>
                <w:shd w:val="clear" w:color="auto" w:fill="FFFFFF"/>
              </w:rPr>
            </w:pPr>
            <w:r w:rsidRPr="008A45E8">
              <w:rPr>
                <w:rFonts w:ascii="Times New Roman" w:hAnsi="Times New Roman"/>
                <w:b/>
                <w:bCs/>
                <w:color w:val="000000"/>
                <w:sz w:val="26"/>
                <w:szCs w:val="26"/>
                <w:shd w:val="clear" w:color="auto" w:fill="FFFFFF"/>
              </w:rPr>
              <w:t>XÁC TH</w:t>
            </w:r>
            <w:r w:rsidRPr="008A45E8">
              <w:rPr>
                <w:rFonts w:ascii="Times New Roman" w:hAnsi="Times New Roman"/>
                <w:b/>
                <w:bCs/>
                <w:color w:val="000000"/>
                <w:sz w:val="26"/>
                <w:szCs w:val="26"/>
                <w:shd w:val="clear" w:color="auto" w:fill="FFFFFF"/>
                <w:lang w:val="vi-VN"/>
              </w:rPr>
              <w:t>ỰC VĂN BẢN HỢP NHẤT</w:t>
            </w:r>
          </w:p>
          <w:p w:rsidR="00EC1C76" w:rsidRPr="00E552F5" w:rsidRDefault="00EC1C76" w:rsidP="001A549A">
            <w:pPr>
              <w:widowControl w:val="0"/>
              <w:spacing w:after="0" w:line="240" w:lineRule="auto"/>
              <w:jc w:val="center"/>
              <w:rPr>
                <w:rFonts w:ascii="Times New Roman" w:hAnsi="Times New Roman"/>
                <w:b/>
                <w:sz w:val="26"/>
                <w:szCs w:val="26"/>
                <w:lang w:val="pt-BR"/>
              </w:rPr>
            </w:pPr>
            <w:r w:rsidRPr="00E552F5">
              <w:rPr>
                <w:rFonts w:ascii="Times New Roman" w:hAnsi="Times New Roman"/>
                <w:b/>
                <w:sz w:val="26"/>
                <w:szCs w:val="26"/>
                <w:lang w:val="pt-BR"/>
              </w:rPr>
              <w:t>KT. BỘ TRƯỞNG</w:t>
            </w:r>
          </w:p>
          <w:p w:rsidR="00EC1C76" w:rsidRPr="003174C4" w:rsidRDefault="00EC1C76" w:rsidP="00DD46C8">
            <w:pPr>
              <w:spacing w:after="0" w:line="240" w:lineRule="auto"/>
              <w:jc w:val="center"/>
              <w:rPr>
                <w:rFonts w:ascii="Times New Roman" w:hAnsi="Times New Roman"/>
                <w:b/>
                <w:sz w:val="26"/>
                <w:szCs w:val="26"/>
                <w:lang w:val="nl-NL"/>
              </w:rPr>
            </w:pPr>
            <w:r w:rsidRPr="003174C4">
              <w:rPr>
                <w:rFonts w:ascii="Times New Roman" w:hAnsi="Times New Roman"/>
                <w:b/>
                <w:sz w:val="26"/>
                <w:szCs w:val="26"/>
                <w:lang w:val="nl-NL"/>
              </w:rPr>
              <w:t>THỨ TRƯỞNG</w:t>
            </w:r>
          </w:p>
          <w:p w:rsidR="00EC1C76" w:rsidRPr="00E552F5" w:rsidRDefault="00EC1C76" w:rsidP="00DD46C8">
            <w:pPr>
              <w:widowControl w:val="0"/>
              <w:spacing w:after="0" w:line="240" w:lineRule="auto"/>
              <w:jc w:val="center"/>
              <w:rPr>
                <w:rFonts w:ascii="Times New Roman" w:eastAsia="Times New Roman" w:hAnsi="Times New Roman"/>
                <w:sz w:val="28"/>
                <w:szCs w:val="28"/>
                <w:lang w:val="nl-NL"/>
              </w:rPr>
            </w:pPr>
          </w:p>
          <w:p w:rsidR="00EC1C76" w:rsidRDefault="00EC1C76" w:rsidP="00DD46C8">
            <w:pPr>
              <w:widowControl w:val="0"/>
              <w:spacing w:after="0" w:line="240" w:lineRule="auto"/>
              <w:jc w:val="center"/>
              <w:rPr>
                <w:rFonts w:ascii="Times New Roman" w:eastAsia="Times New Roman" w:hAnsi="Times New Roman"/>
                <w:sz w:val="28"/>
                <w:szCs w:val="28"/>
                <w:lang w:val="nl-NL"/>
              </w:rPr>
            </w:pPr>
          </w:p>
          <w:p w:rsidR="00811BEB" w:rsidRPr="00811BEB" w:rsidRDefault="00811BEB" w:rsidP="00DD46C8">
            <w:pPr>
              <w:widowControl w:val="0"/>
              <w:spacing w:after="0" w:line="240" w:lineRule="auto"/>
              <w:jc w:val="center"/>
              <w:rPr>
                <w:rFonts w:ascii="Times New Roman" w:eastAsia="Times New Roman" w:hAnsi="Times New Roman"/>
                <w:sz w:val="16"/>
                <w:szCs w:val="16"/>
                <w:lang w:val="nl-NL"/>
              </w:rPr>
            </w:pPr>
          </w:p>
          <w:p w:rsidR="00EC1C76" w:rsidRPr="00E552F5" w:rsidRDefault="00EC1C76" w:rsidP="00DD46C8">
            <w:pPr>
              <w:widowControl w:val="0"/>
              <w:spacing w:after="0" w:line="240" w:lineRule="auto"/>
              <w:jc w:val="center"/>
              <w:rPr>
                <w:rFonts w:ascii="Times New Roman" w:eastAsia="Times New Roman" w:hAnsi="Times New Roman"/>
                <w:sz w:val="28"/>
                <w:szCs w:val="28"/>
                <w:lang w:val="nl-NL"/>
              </w:rPr>
            </w:pPr>
          </w:p>
          <w:p w:rsidR="00EC1C76" w:rsidRPr="008A45E8" w:rsidRDefault="00EC1C76" w:rsidP="00DD46C8">
            <w:pPr>
              <w:widowControl w:val="0"/>
              <w:spacing w:before="120" w:after="120" w:line="240" w:lineRule="auto"/>
              <w:jc w:val="center"/>
              <w:rPr>
                <w:rFonts w:ascii="Times New Roman" w:eastAsia="Times New Roman" w:hAnsi="Times New Roman"/>
                <w:sz w:val="28"/>
                <w:szCs w:val="28"/>
              </w:rPr>
            </w:pPr>
            <w:r w:rsidRPr="003174C4">
              <w:rPr>
                <w:rFonts w:ascii="Times New Roman" w:hAnsi="Times New Roman"/>
                <w:b/>
                <w:sz w:val="28"/>
                <w:lang w:val="nl-NL"/>
              </w:rPr>
              <w:t>Cao Anh Tuấn</w:t>
            </w:r>
          </w:p>
        </w:tc>
      </w:tr>
    </w:tbl>
    <w:p w:rsidR="008A45E8" w:rsidRPr="001649E8" w:rsidRDefault="008A45E8" w:rsidP="00B13EB4">
      <w:pPr>
        <w:widowControl w:val="0"/>
        <w:spacing w:before="120" w:after="120" w:line="240" w:lineRule="auto"/>
        <w:jc w:val="both"/>
        <w:rPr>
          <w:rFonts w:ascii="Times New Roman" w:eastAsia="Times New Roman" w:hAnsi="Times New Roman"/>
          <w:sz w:val="28"/>
          <w:szCs w:val="28"/>
          <w:lang w:val="nl-NL"/>
        </w:rPr>
      </w:pPr>
    </w:p>
    <w:sectPr w:rsidR="008A45E8" w:rsidRPr="001649E8" w:rsidSect="00F2582F">
      <w:headerReference w:type="default" r:id="rId8"/>
      <w:footerReference w:type="default" r:id="rId9"/>
      <w:pgSz w:w="11907" w:h="16840" w:code="9"/>
      <w:pgMar w:top="1138" w:right="1138" w:bottom="1138" w:left="1699" w:header="576"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2A3" w:rsidRDefault="00B612A3" w:rsidP="000A154E">
      <w:pPr>
        <w:spacing w:after="0" w:line="240" w:lineRule="auto"/>
      </w:pPr>
      <w:r>
        <w:separator/>
      </w:r>
    </w:p>
  </w:endnote>
  <w:endnote w:type="continuationSeparator" w:id="0">
    <w:p w:rsidR="00B612A3" w:rsidRDefault="00B612A3" w:rsidP="000A15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Arial">
    <w:altName w:val="Courier New"/>
    <w:charset w:val="00"/>
    <w:family w:val="swiss"/>
    <w:pitch w:val="variable"/>
    <w:sig w:usb0="00000001"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FD" w:rsidRDefault="00214BFD">
    <w:pPr>
      <w:pStyle w:val="Footer"/>
      <w:jc w:val="right"/>
    </w:pPr>
  </w:p>
  <w:p w:rsidR="00214BFD" w:rsidRDefault="00214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2A3" w:rsidRDefault="00B612A3" w:rsidP="000A154E">
      <w:pPr>
        <w:spacing w:after="0" w:line="240" w:lineRule="auto"/>
      </w:pPr>
      <w:r>
        <w:separator/>
      </w:r>
    </w:p>
  </w:footnote>
  <w:footnote w:type="continuationSeparator" w:id="0">
    <w:p w:rsidR="00B612A3" w:rsidRDefault="00B612A3" w:rsidP="000A154E">
      <w:pPr>
        <w:spacing w:after="0" w:line="240" w:lineRule="auto"/>
      </w:pPr>
      <w:r>
        <w:continuationSeparator/>
      </w:r>
    </w:p>
  </w:footnote>
  <w:footnote w:id="1">
    <w:p w:rsidR="00214BFD" w:rsidRDefault="00214BFD" w:rsidP="00F62B25">
      <w:pPr>
        <w:pStyle w:val="NormalWeb"/>
        <w:shd w:val="clear" w:color="auto" w:fill="FFFFFF"/>
        <w:spacing w:before="0" w:after="0" w:line="240" w:lineRule="auto"/>
        <w:ind w:firstLine="720"/>
        <w:jc w:val="both"/>
        <w:rPr>
          <w:rFonts w:ascii="Times New Roman" w:hAnsi="Times New Roman"/>
          <w:color w:val="000000"/>
          <w:sz w:val="20"/>
          <w:szCs w:val="20"/>
        </w:rPr>
      </w:pPr>
      <w:r w:rsidRPr="00B80820">
        <w:rPr>
          <w:rStyle w:val="FootnoteReference"/>
          <w:rFonts w:ascii="Times New Roman" w:hAnsi="Times New Roman"/>
          <w:sz w:val="20"/>
          <w:szCs w:val="20"/>
        </w:rPr>
        <w:footnoteRef/>
      </w:r>
      <w:r w:rsidRPr="00B80820">
        <w:rPr>
          <w:rFonts w:ascii="Times New Roman" w:hAnsi="Times New Roman"/>
          <w:sz w:val="20"/>
          <w:szCs w:val="20"/>
        </w:rPr>
        <w:t xml:space="preserve"> </w:t>
      </w:r>
      <w:r w:rsidRPr="00B80820">
        <w:rPr>
          <w:rFonts w:ascii="Times New Roman" w:hAnsi="Times New Roman"/>
          <w:color w:val="000000"/>
          <w:sz w:val="20"/>
          <w:szCs w:val="20"/>
        </w:rPr>
        <w:t>- Thông tư số 12/2016/TT-BTC</w:t>
      </w:r>
      <w:r>
        <w:rPr>
          <w:rFonts w:ascii="Times New Roman" w:hAnsi="Times New Roman"/>
          <w:color w:val="000000"/>
          <w:sz w:val="20"/>
          <w:szCs w:val="20"/>
        </w:rPr>
        <w:t xml:space="preserve"> </w:t>
      </w:r>
      <w:r w:rsidRPr="00B80820">
        <w:rPr>
          <w:rFonts w:ascii="Times New Roman" w:hAnsi="Times New Roman"/>
          <w:color w:val="000000"/>
          <w:sz w:val="20"/>
          <w:szCs w:val="20"/>
        </w:rPr>
        <w:t>có căn cứ ban hành như sau:</w:t>
      </w:r>
    </w:p>
    <w:p w:rsidR="00214BFD" w:rsidRPr="00B80820" w:rsidRDefault="00214BFD" w:rsidP="00F62B25">
      <w:pPr>
        <w:pStyle w:val="NormalWeb"/>
        <w:shd w:val="clear" w:color="auto" w:fill="FFFFFF"/>
        <w:spacing w:before="0" w:after="0" w:line="240" w:lineRule="auto"/>
        <w:ind w:firstLine="720"/>
        <w:jc w:val="both"/>
        <w:rPr>
          <w:rFonts w:ascii="Times New Roman" w:hAnsi="Times New Roman"/>
          <w:color w:val="000000"/>
          <w:sz w:val="20"/>
          <w:szCs w:val="20"/>
        </w:rPr>
      </w:pPr>
      <w:r>
        <w:rPr>
          <w:rFonts w:ascii="Times New Roman" w:hAnsi="Times New Roman"/>
          <w:i/>
          <w:iCs/>
          <w:color w:val="000000"/>
          <w:sz w:val="20"/>
          <w:szCs w:val="20"/>
        </w:rPr>
        <w:t>“</w:t>
      </w:r>
      <w:r w:rsidRPr="00B80820">
        <w:rPr>
          <w:rFonts w:ascii="Times New Roman" w:hAnsi="Times New Roman"/>
          <w:i/>
          <w:iCs/>
          <w:color w:val="000000"/>
          <w:sz w:val="20"/>
          <w:szCs w:val="20"/>
        </w:rPr>
        <w:t>Căn cứ Luật thuế tài nguyên số 45/2009/QH12 ngày 25 tháng 11 năm 2009;</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Luật sửa đổi, bổ sung một số điều của các Luật về thuế số 71/2014/QH13 ngày 26 tháng 11 năm 2014;</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 xml:space="preserve">Căn cứ Nghị quyết số 1084/2015/UBTVQH13 ngày 10 tháng 12 năm 2015 của Ủy ban </w:t>
      </w:r>
      <w:r>
        <w:rPr>
          <w:rFonts w:ascii="Times New Roman" w:eastAsia="Times New Roman" w:hAnsi="Times New Roman"/>
          <w:i/>
          <w:iCs/>
          <w:color w:val="000000"/>
          <w:sz w:val="20"/>
          <w:szCs w:val="20"/>
        </w:rPr>
        <w:t>T</w:t>
      </w:r>
      <w:r w:rsidRPr="00B80820">
        <w:rPr>
          <w:rFonts w:ascii="Times New Roman" w:eastAsia="Times New Roman" w:hAnsi="Times New Roman"/>
          <w:i/>
          <w:iCs/>
          <w:color w:val="000000"/>
          <w:sz w:val="20"/>
          <w:szCs w:val="20"/>
        </w:rPr>
        <w:t>hường vụ Quốc hội ban hành Biểu mức thuế suất thuế tài nguyên;</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50/2010/NĐ-CP ngày 14 tháng 5 năm 2010 của Chính phủ quy định chi tiết và hướng dẫn thi hành một số điều của Luật thuế tài nguyên;</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12/2015/NĐ-CP ngày 12 tháng 02 năm 2015 của Chính phủ hướng dẫn thi hành Luật sửa đổi, bổ sung một số điều của các Luật thuế và sửa đổi, bổ sung một số điều của các Nghị định về thuế;</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215/2013/NĐ-CP ngày 23 tháng 12 năm 2013 của Chính phủ quy định chức năng, nhiệm vụ, quyền hạn và cơ cấu tổ chức của Bộ Tài chính;</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Theo đề nghị của Vụ trưởng Vụ Chính sách Thuế;</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Bộ trưởng Bộ Tài chính ban hành Thông tư sửa đổi, bổ sung khoản 1 Điều 7 Thông tư số 152/2015/TT-BTC ngày 02 tháng 10 năm 2015 hướng d</w:t>
      </w:r>
      <w:r>
        <w:rPr>
          <w:rFonts w:ascii="Times New Roman" w:eastAsia="Times New Roman" w:hAnsi="Times New Roman"/>
          <w:i/>
          <w:iCs/>
          <w:color w:val="000000"/>
          <w:sz w:val="20"/>
          <w:szCs w:val="20"/>
        </w:rPr>
        <w:t>ẫn về thuế tài nguyên như sau:”</w:t>
      </w:r>
    </w:p>
    <w:p w:rsidR="00214BFD" w:rsidRPr="00B80820" w:rsidRDefault="00214BFD" w:rsidP="00F62B25">
      <w:pPr>
        <w:shd w:val="clear" w:color="auto" w:fill="FFFFFF"/>
        <w:spacing w:before="120"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color w:val="000000"/>
          <w:sz w:val="20"/>
          <w:szCs w:val="20"/>
        </w:rPr>
        <w:t>- Thông tư 174/2016/TT-BTC có căn cứ ban hành như sau:</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rPr>
        <w:t>“</w:t>
      </w:r>
      <w:r w:rsidRPr="00B80820">
        <w:rPr>
          <w:rFonts w:ascii="Times New Roman" w:eastAsia="Times New Roman" w:hAnsi="Times New Roman"/>
          <w:i/>
          <w:iCs/>
          <w:color w:val="000000"/>
          <w:sz w:val="20"/>
          <w:szCs w:val="20"/>
        </w:rPr>
        <w:t>Căn cứ Luật Thuế tài nguyên số 45/2009/QH12 ngày 25 tháng 11 năm 2009;</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Luật Khoáng sản số 60/2010/QH12 ngày 17 tháng 11 năm 2010;</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Luật Quản lý Thuế số 78/2006/QH11 ngày 29 tháng 11 năm 2006; Luật sửa đổi, bổ sung một số điều của Luật Quản lý Thuế số 21/2012/QH13 ngày 20 tháng 11 năm 2012;</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quyết số 1084/2015/UBTVQH13 ngày 10 tháng 12 năm 2015 của Ủy ban thường vụ Quốc hội về việc ban hành Biểu mức thuế suất thuế tài nguyên;</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Luật sửa đổi, bổ sung một số điều của các Luật về thuế số 71/2014/QH13 ngày 26 tháng 11 năm 2014;</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83/2013/NĐ-CP ngày 22 tháng 7 năm 2013 của Chính phủ quy định chi tiết thi hành một số điều của Luật Quản lý Thuế và Luật sửa đổi, bổ sung một số điều của Luật Quản lý Thuế;</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50/2010/NĐ-CP ngày 14 tháng 5 năm 2010 của Chính phủ quy định chi tiết và hướng dẫn thi hành một số điều của Luật Thuế tài nguyên;</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12/2015/NĐ-CP ngày 12 tháng 02 năm 2015 của Chính phủ hướng dẫn thi hành Luật sửa đổi, bổ sung một số điều của các Luật Thuế và sửa đổi, bổ sung một số điều của các Nghị định về thuế;</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215/2013/NĐ-CP ngày 23 tháng 12 năm 2013 của Chính phủ quy định chức năng, nhiệm vụ, quyền hạn và cơ cấu tổ chức của Bộ Tài chính;</w:t>
      </w:r>
    </w:p>
    <w:p w:rsidR="00214BFD" w:rsidRPr="00B80820" w:rsidRDefault="00214BFD" w:rsidP="00F62B25">
      <w:pPr>
        <w:shd w:val="clear" w:color="auto" w:fill="FFFFFF"/>
        <w:spacing w:after="0" w:line="240" w:lineRule="auto"/>
        <w:ind w:firstLine="720"/>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Theo đề nghị của Tổng cục trưởng Tổng cục Thuế;</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Bộ trưởng Bộ Tài chính ban hành Thông tư sửa đổi, bổ sung điểm a Khoản 4 Điều 6 Thông tư số 152/2015/TT-BTC ngày 02 tháng 10 năm 2015 của Bộ Tài chính hướng dẫn về thuế tài nguyên”</w:t>
      </w:r>
    </w:p>
    <w:p w:rsidR="00214BFD" w:rsidRPr="00B80820" w:rsidRDefault="00214BFD" w:rsidP="00F2582F">
      <w:pPr>
        <w:shd w:val="clear" w:color="auto" w:fill="FFFFFF"/>
        <w:spacing w:before="60" w:after="0" w:line="240" w:lineRule="auto"/>
        <w:ind w:firstLine="706"/>
        <w:jc w:val="both"/>
        <w:rPr>
          <w:rFonts w:ascii="Times New Roman" w:eastAsia="Times New Roman" w:hAnsi="Times New Roman"/>
          <w:color w:val="000000"/>
          <w:sz w:val="20"/>
          <w:szCs w:val="20"/>
        </w:rPr>
      </w:pPr>
      <w:r w:rsidRPr="00B80820">
        <w:rPr>
          <w:rFonts w:ascii="Times New Roman" w:eastAsia="Times New Roman" w:hAnsi="Times New Roman"/>
          <w:color w:val="000000"/>
          <w:sz w:val="20"/>
          <w:szCs w:val="20"/>
        </w:rPr>
        <w:t>- Thông tư số 41/2024/TT-BTC có căn cứ ban hành như sau:</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Pr>
          <w:rFonts w:ascii="Times New Roman" w:eastAsia="Times New Roman" w:hAnsi="Times New Roman"/>
          <w:i/>
          <w:iCs/>
          <w:color w:val="000000"/>
          <w:sz w:val="20"/>
          <w:szCs w:val="20"/>
        </w:rPr>
        <w:t>“</w:t>
      </w:r>
      <w:r w:rsidRPr="00B80820">
        <w:rPr>
          <w:rFonts w:ascii="Times New Roman" w:eastAsia="Times New Roman" w:hAnsi="Times New Roman"/>
          <w:i/>
          <w:iCs/>
          <w:color w:val="000000"/>
          <w:sz w:val="20"/>
          <w:szCs w:val="20"/>
        </w:rPr>
        <w:t>Căn cứ Luật Thuế tài nguyên ngày 25 tháng 11 năm 2009;</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50/2010/NĐ-CP ngày 14 tháng 5 năm 2010 của Chính phủ quy định chi tiết và hướng dẫn thi hành một số điều của Luật Thuế tài nguyên;</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12/2015/NĐ-CP ngày 12 tháng 02 năm 2015 của Chính phủ hướng dẫn thi hành Luật sửa đổi, bổ sung một số điều của các Luật Thuế và sửa đổi, bổ sung một số điều của các Nghị định về thuế;</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Căn cứ Nghị định số 14/2023/NĐ-CP ngày 20 tháng 4 năm 2023 của Chính phủ quy định chức năng, nhiệm vụ, quyền hạn và cơ cấu tổ chức của Bộ Tài chính:</w:t>
      </w:r>
    </w:p>
    <w:p w:rsidR="00214BFD" w:rsidRPr="00B80820" w:rsidRDefault="00214BFD" w:rsidP="00F62B25">
      <w:pPr>
        <w:shd w:val="clear" w:color="auto" w:fill="FFFFFF"/>
        <w:spacing w:after="0" w:line="240" w:lineRule="auto"/>
        <w:ind w:firstLine="709"/>
        <w:jc w:val="both"/>
        <w:rPr>
          <w:rFonts w:ascii="Times New Roman" w:eastAsia="Times New Roman" w:hAnsi="Times New Roman"/>
          <w:color w:val="000000"/>
          <w:sz w:val="20"/>
          <w:szCs w:val="20"/>
        </w:rPr>
      </w:pPr>
      <w:r w:rsidRPr="00B80820">
        <w:rPr>
          <w:rFonts w:ascii="Times New Roman" w:eastAsia="Times New Roman" w:hAnsi="Times New Roman"/>
          <w:i/>
          <w:iCs/>
          <w:color w:val="000000"/>
          <w:sz w:val="20"/>
          <w:szCs w:val="20"/>
        </w:rPr>
        <w:t>Theo đề nghị của Tổng cục trưởng Tổng cục Thuế;</w:t>
      </w:r>
    </w:p>
    <w:p w:rsidR="00214BFD" w:rsidRDefault="00214BFD" w:rsidP="00F62B25">
      <w:pPr>
        <w:shd w:val="clear" w:color="auto" w:fill="FFFFFF"/>
        <w:spacing w:after="0" w:line="240" w:lineRule="auto"/>
        <w:ind w:firstLine="709"/>
        <w:jc w:val="both"/>
        <w:rPr>
          <w:rFonts w:ascii="Times New Roman" w:eastAsia="Times New Roman" w:hAnsi="Times New Roman"/>
          <w:i/>
          <w:iCs/>
          <w:color w:val="000000"/>
          <w:sz w:val="20"/>
          <w:szCs w:val="20"/>
        </w:rPr>
      </w:pPr>
      <w:r w:rsidRPr="00B80820">
        <w:rPr>
          <w:rFonts w:ascii="Times New Roman" w:eastAsia="Times New Roman" w:hAnsi="Times New Roman"/>
          <w:i/>
          <w:iCs/>
          <w:color w:val="000000"/>
          <w:sz w:val="20"/>
          <w:szCs w:val="20"/>
        </w:rPr>
        <w:t>Bộ trưởng Bộ Tài chính ban hành Thông tư sửa đổi, bổ sung một số điều của Thông tư s</w:t>
      </w:r>
      <w:r w:rsidR="00F2582F">
        <w:rPr>
          <w:rFonts w:ascii="Times New Roman" w:eastAsia="Times New Roman" w:hAnsi="Times New Roman"/>
          <w:i/>
          <w:iCs/>
          <w:color w:val="000000"/>
          <w:sz w:val="20"/>
          <w:szCs w:val="20"/>
        </w:rPr>
        <w:t xml:space="preserve">ố 44/2017/TT-BTC ngày 12 tháng </w:t>
      </w:r>
      <w:r w:rsidRPr="00B80820">
        <w:rPr>
          <w:rFonts w:ascii="Times New Roman" w:eastAsia="Times New Roman" w:hAnsi="Times New Roman"/>
          <w:i/>
          <w:iCs/>
          <w:color w:val="000000"/>
          <w:sz w:val="20"/>
          <w:szCs w:val="20"/>
        </w:rPr>
        <w:t>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w:t>
      </w:r>
      <w:r>
        <w:rPr>
          <w:rFonts w:ascii="Times New Roman" w:eastAsia="Times New Roman" w:hAnsi="Times New Roman"/>
          <w:i/>
          <w:iCs/>
          <w:color w:val="000000"/>
          <w:sz w:val="20"/>
          <w:szCs w:val="20"/>
        </w:rPr>
        <w:t>”</w:t>
      </w:r>
    </w:p>
    <w:p w:rsidR="00214BFD" w:rsidRDefault="00214BFD" w:rsidP="00F2582F">
      <w:pPr>
        <w:shd w:val="clear" w:color="auto" w:fill="FFFFFF"/>
        <w:spacing w:before="60" w:after="0" w:line="240" w:lineRule="auto"/>
        <w:ind w:firstLine="706"/>
        <w:jc w:val="both"/>
        <w:rPr>
          <w:rFonts w:ascii="Times New Roman" w:eastAsia="Times New Roman" w:hAnsi="Times New Roman"/>
          <w:color w:val="000000"/>
          <w:sz w:val="20"/>
          <w:szCs w:val="20"/>
        </w:rPr>
      </w:pPr>
      <w:r>
        <w:rPr>
          <w:rFonts w:ascii="Times New Roman" w:eastAsia="Times New Roman" w:hAnsi="Times New Roman"/>
          <w:iCs/>
          <w:color w:val="000000"/>
          <w:sz w:val="20"/>
          <w:szCs w:val="20"/>
        </w:rPr>
        <w:t xml:space="preserve">- </w:t>
      </w:r>
      <w:r w:rsidRPr="00B80820">
        <w:rPr>
          <w:rFonts w:ascii="Times New Roman" w:eastAsia="Times New Roman" w:hAnsi="Times New Roman"/>
          <w:color w:val="000000"/>
          <w:sz w:val="20"/>
          <w:szCs w:val="20"/>
        </w:rPr>
        <w:t xml:space="preserve">Thông tư số </w:t>
      </w:r>
      <w:r w:rsidR="00C86B7D">
        <w:rPr>
          <w:rFonts w:ascii="Times New Roman" w:eastAsia="Times New Roman" w:hAnsi="Times New Roman"/>
          <w:color w:val="000000"/>
          <w:sz w:val="20"/>
          <w:szCs w:val="20"/>
        </w:rPr>
        <w:t>135</w:t>
      </w:r>
      <w:r w:rsidRPr="00B80820">
        <w:rPr>
          <w:rFonts w:ascii="Times New Roman" w:eastAsia="Times New Roman" w:hAnsi="Times New Roman"/>
          <w:color w:val="000000"/>
          <w:sz w:val="20"/>
          <w:szCs w:val="20"/>
        </w:rPr>
        <w:t>/202</w:t>
      </w:r>
      <w:r>
        <w:rPr>
          <w:rFonts w:ascii="Times New Roman" w:eastAsia="Times New Roman" w:hAnsi="Times New Roman"/>
          <w:color w:val="000000"/>
          <w:sz w:val="20"/>
          <w:szCs w:val="20"/>
        </w:rPr>
        <w:t>6</w:t>
      </w:r>
      <w:r w:rsidRPr="00B80820">
        <w:rPr>
          <w:rFonts w:ascii="Times New Roman" w:eastAsia="Times New Roman" w:hAnsi="Times New Roman"/>
          <w:color w:val="000000"/>
          <w:sz w:val="20"/>
          <w:szCs w:val="20"/>
        </w:rPr>
        <w:t>/TT-BTC có căn cứ ban hành như sau:</w:t>
      </w:r>
    </w:p>
    <w:p w:rsidR="00214BFD" w:rsidRPr="00222E72" w:rsidRDefault="00214BFD" w:rsidP="00222E72">
      <w:pPr>
        <w:spacing w:after="0" w:line="240" w:lineRule="auto"/>
        <w:ind w:firstLine="720"/>
        <w:jc w:val="both"/>
        <w:rPr>
          <w:rFonts w:ascii="Times New Roman" w:eastAsia="Times New Roman" w:hAnsi="Times New Roman"/>
          <w:i/>
          <w:sz w:val="20"/>
          <w:szCs w:val="20"/>
          <w:lang w:val="nl-NL"/>
        </w:rPr>
      </w:pPr>
      <w:r w:rsidRPr="00222E72">
        <w:rPr>
          <w:rFonts w:ascii="Times New Roman" w:eastAsia="Times New Roman" w:hAnsi="Times New Roman"/>
          <w:i/>
          <w:sz w:val="20"/>
          <w:szCs w:val="20"/>
          <w:lang w:val="nl-NL"/>
        </w:rPr>
        <w:t>“Căn cứ Luật Thuế tài nguyên số 45/2009/QH12, được sửa đổi, bổ sung bởi Luật số 71/2014/QH13;</w:t>
      </w:r>
    </w:p>
    <w:p w:rsidR="00214BFD" w:rsidRPr="00222E72" w:rsidRDefault="00214BFD" w:rsidP="00222E72">
      <w:pPr>
        <w:tabs>
          <w:tab w:val="left" w:pos="567"/>
          <w:tab w:val="left" w:pos="851"/>
        </w:tabs>
        <w:spacing w:after="0" w:line="240" w:lineRule="auto"/>
        <w:ind w:firstLine="720"/>
        <w:jc w:val="both"/>
        <w:rPr>
          <w:rFonts w:ascii="Times New Roman" w:eastAsia="Times New Roman" w:hAnsi="Times New Roman"/>
          <w:i/>
          <w:iCs/>
          <w:sz w:val="20"/>
          <w:szCs w:val="20"/>
          <w:lang w:val="nl-NL"/>
        </w:rPr>
      </w:pPr>
      <w:r w:rsidRPr="00222E72">
        <w:rPr>
          <w:rFonts w:ascii="Times New Roman" w:eastAsia="Times New Roman" w:hAnsi="Times New Roman"/>
          <w:i/>
          <w:iCs/>
          <w:sz w:val="20"/>
          <w:szCs w:val="20"/>
          <w:lang w:val="nl-NL"/>
        </w:rPr>
        <w:t xml:space="preserve">Căn cứ Nghị định số 50/2010/NĐ-CP của Chính phủ quy định chi tiết và hướng dẫn thi hành một số điều của Luật Thuế tài nguyên, </w:t>
      </w:r>
      <w:r w:rsidRPr="00222E72">
        <w:rPr>
          <w:rFonts w:ascii="Times New Roman" w:hAnsi="Times New Roman"/>
          <w:i/>
          <w:sz w:val="20"/>
          <w:szCs w:val="20"/>
        </w:rPr>
        <w:t>được sửa đổi, bổ sung bởi Nghị định số 12/2015/NĐ-CP</w:t>
      </w:r>
      <w:r w:rsidRPr="00222E72">
        <w:rPr>
          <w:rFonts w:ascii="Times New Roman" w:eastAsia="Times New Roman" w:hAnsi="Times New Roman"/>
          <w:i/>
          <w:iCs/>
          <w:sz w:val="20"/>
          <w:szCs w:val="20"/>
          <w:lang w:val="nl-NL"/>
        </w:rPr>
        <w:t>;</w:t>
      </w:r>
    </w:p>
    <w:p w:rsidR="00214BFD" w:rsidRPr="00222E72" w:rsidRDefault="00214BFD" w:rsidP="00222E72">
      <w:pPr>
        <w:tabs>
          <w:tab w:val="left" w:pos="567"/>
          <w:tab w:val="left" w:pos="851"/>
        </w:tabs>
        <w:spacing w:after="0" w:line="240" w:lineRule="auto"/>
        <w:ind w:firstLine="720"/>
        <w:jc w:val="both"/>
        <w:rPr>
          <w:rFonts w:ascii="Times New Roman" w:eastAsia="Times New Roman" w:hAnsi="Times New Roman"/>
          <w:i/>
          <w:iCs/>
          <w:sz w:val="20"/>
          <w:szCs w:val="20"/>
          <w:lang w:val="nl-NL"/>
        </w:rPr>
      </w:pPr>
      <w:r w:rsidRPr="00222E72">
        <w:rPr>
          <w:rFonts w:ascii="Times New Roman" w:eastAsia="Times New Roman" w:hAnsi="Times New Roman"/>
          <w:i/>
          <w:iCs/>
          <w:sz w:val="20"/>
          <w:szCs w:val="20"/>
          <w:lang w:val="nl-NL"/>
        </w:rPr>
        <w:t>Căn cứ Nghị định số 29/2025/NĐ-CP của Chính phủ quy định chức năng, nhiệm vụ, quyền hạn và cơ cấu tổ chức của Bộ Tài chính,</w:t>
      </w:r>
      <w:r w:rsidRPr="00222E72">
        <w:rPr>
          <w:rFonts w:ascii="Times New Roman" w:hAnsi="Times New Roman"/>
          <w:i/>
          <w:sz w:val="20"/>
          <w:szCs w:val="20"/>
        </w:rPr>
        <w:t xml:space="preserve"> được sửa đổi, bổ sung bởi </w:t>
      </w:r>
      <w:r w:rsidRPr="00222E72">
        <w:rPr>
          <w:rFonts w:ascii="Times New Roman" w:eastAsia="Times New Roman" w:hAnsi="Times New Roman"/>
          <w:i/>
          <w:iCs/>
          <w:sz w:val="20"/>
          <w:szCs w:val="20"/>
          <w:lang w:val="nl-NL"/>
        </w:rPr>
        <w:t>Nghị định số 166/2025/NĐ-CP;</w:t>
      </w:r>
    </w:p>
    <w:p w:rsidR="00214BFD" w:rsidRPr="00222E72" w:rsidRDefault="00214BFD" w:rsidP="00222E72">
      <w:pPr>
        <w:tabs>
          <w:tab w:val="left" w:pos="851"/>
        </w:tabs>
        <w:spacing w:after="0" w:line="240" w:lineRule="auto"/>
        <w:ind w:firstLine="720"/>
        <w:jc w:val="both"/>
        <w:rPr>
          <w:rFonts w:ascii="Times New Roman" w:eastAsia="Times New Roman" w:hAnsi="Times New Roman"/>
          <w:i/>
          <w:iCs/>
          <w:sz w:val="20"/>
          <w:szCs w:val="20"/>
          <w:lang w:val="nl-NL"/>
        </w:rPr>
      </w:pPr>
      <w:r w:rsidRPr="00222E72">
        <w:rPr>
          <w:rFonts w:ascii="Times New Roman" w:eastAsia="Times New Roman" w:hAnsi="Times New Roman"/>
          <w:i/>
          <w:iCs/>
          <w:sz w:val="20"/>
          <w:szCs w:val="20"/>
          <w:lang w:val="vi-VN"/>
        </w:rPr>
        <w:t xml:space="preserve">Theo đề nghị của </w:t>
      </w:r>
      <w:r w:rsidRPr="00222E72">
        <w:rPr>
          <w:rFonts w:ascii="Times New Roman" w:eastAsia="Times New Roman" w:hAnsi="Times New Roman"/>
          <w:i/>
          <w:iCs/>
          <w:sz w:val="20"/>
          <w:szCs w:val="20"/>
          <w:lang w:val="nl-NL"/>
        </w:rPr>
        <w:t>C</w:t>
      </w:r>
      <w:r w:rsidRPr="00222E72">
        <w:rPr>
          <w:rFonts w:ascii="Times New Roman" w:eastAsia="Times New Roman" w:hAnsi="Times New Roman"/>
          <w:i/>
          <w:iCs/>
          <w:sz w:val="20"/>
          <w:szCs w:val="20"/>
          <w:lang w:val="vi-VN"/>
        </w:rPr>
        <w:t>ụ</w:t>
      </w:r>
      <w:r w:rsidRPr="00222E72">
        <w:rPr>
          <w:rFonts w:ascii="Times New Roman" w:eastAsia="Times New Roman" w:hAnsi="Times New Roman"/>
          <w:i/>
          <w:iCs/>
          <w:sz w:val="20"/>
          <w:szCs w:val="20"/>
          <w:lang w:val="nl-NL"/>
        </w:rPr>
        <w:t>c</w:t>
      </w:r>
      <w:r w:rsidRPr="00222E72">
        <w:rPr>
          <w:rFonts w:ascii="Times New Roman" w:eastAsia="Times New Roman" w:hAnsi="Times New Roman"/>
          <w:i/>
          <w:iCs/>
          <w:sz w:val="20"/>
          <w:szCs w:val="20"/>
          <w:lang w:val="vi-VN"/>
        </w:rPr>
        <w:t xml:space="preserve"> trưởng </w:t>
      </w:r>
      <w:r w:rsidRPr="00222E72">
        <w:rPr>
          <w:rFonts w:ascii="Times New Roman" w:eastAsia="Times New Roman" w:hAnsi="Times New Roman"/>
          <w:i/>
          <w:iCs/>
          <w:sz w:val="20"/>
          <w:szCs w:val="20"/>
          <w:lang w:val="nl-NL"/>
        </w:rPr>
        <w:t>C</w:t>
      </w:r>
      <w:r w:rsidRPr="00222E72">
        <w:rPr>
          <w:rFonts w:ascii="Times New Roman" w:eastAsia="Times New Roman" w:hAnsi="Times New Roman"/>
          <w:i/>
          <w:iCs/>
          <w:sz w:val="20"/>
          <w:szCs w:val="20"/>
          <w:lang w:val="vi-VN"/>
        </w:rPr>
        <w:t>ụ</w:t>
      </w:r>
      <w:r w:rsidRPr="00222E72">
        <w:rPr>
          <w:rFonts w:ascii="Times New Roman" w:eastAsia="Times New Roman" w:hAnsi="Times New Roman"/>
          <w:i/>
          <w:iCs/>
          <w:sz w:val="20"/>
          <w:szCs w:val="20"/>
          <w:lang w:val="nl-NL"/>
        </w:rPr>
        <w:t>c Quản lý, giám sát</w:t>
      </w:r>
      <w:r w:rsidRPr="00222E72">
        <w:rPr>
          <w:rFonts w:ascii="Times New Roman" w:eastAsia="Times New Roman" w:hAnsi="Times New Roman"/>
          <w:i/>
          <w:iCs/>
          <w:sz w:val="20"/>
          <w:szCs w:val="20"/>
          <w:lang w:val="vi-VN"/>
        </w:rPr>
        <w:t xml:space="preserve"> </w:t>
      </w:r>
      <w:r w:rsidRPr="00222E72">
        <w:rPr>
          <w:rFonts w:ascii="Times New Roman" w:eastAsia="Times New Roman" w:hAnsi="Times New Roman"/>
          <w:i/>
          <w:iCs/>
          <w:sz w:val="20"/>
          <w:szCs w:val="20"/>
          <w:lang w:val="nl-NL"/>
        </w:rPr>
        <w:t>c</w:t>
      </w:r>
      <w:r w:rsidRPr="00222E72">
        <w:rPr>
          <w:rFonts w:ascii="Times New Roman" w:eastAsia="Times New Roman" w:hAnsi="Times New Roman"/>
          <w:i/>
          <w:iCs/>
          <w:sz w:val="20"/>
          <w:szCs w:val="20"/>
          <w:lang w:val="vi-VN"/>
        </w:rPr>
        <w:t xml:space="preserve">hính sách </w:t>
      </w:r>
      <w:r w:rsidRPr="00222E72">
        <w:rPr>
          <w:rFonts w:ascii="Times New Roman" w:eastAsia="Times New Roman" w:hAnsi="Times New Roman"/>
          <w:i/>
          <w:iCs/>
          <w:sz w:val="20"/>
          <w:szCs w:val="20"/>
          <w:lang w:val="nl-NL"/>
        </w:rPr>
        <w:t>t</w:t>
      </w:r>
      <w:r w:rsidRPr="00222E72">
        <w:rPr>
          <w:rFonts w:ascii="Times New Roman" w:eastAsia="Times New Roman" w:hAnsi="Times New Roman"/>
          <w:i/>
          <w:iCs/>
          <w:sz w:val="20"/>
          <w:szCs w:val="20"/>
          <w:lang w:val="vi-VN"/>
        </w:rPr>
        <w:t>huế</w:t>
      </w:r>
      <w:r w:rsidRPr="00222E72">
        <w:rPr>
          <w:rFonts w:ascii="Times New Roman" w:eastAsia="Times New Roman" w:hAnsi="Times New Roman"/>
          <w:i/>
          <w:iCs/>
          <w:sz w:val="20"/>
          <w:szCs w:val="20"/>
          <w:lang w:val="nl-NL"/>
        </w:rPr>
        <w:t>, phí và lệ phí;</w:t>
      </w:r>
    </w:p>
    <w:p w:rsidR="00214BFD" w:rsidRPr="00222E72" w:rsidRDefault="00214BFD" w:rsidP="00222E72">
      <w:pPr>
        <w:spacing w:after="0" w:line="240" w:lineRule="auto"/>
        <w:ind w:firstLine="709"/>
        <w:jc w:val="both"/>
        <w:rPr>
          <w:sz w:val="20"/>
          <w:szCs w:val="20"/>
        </w:rPr>
      </w:pPr>
      <w:r w:rsidRPr="00222E72">
        <w:rPr>
          <w:rFonts w:ascii="Times New Roman" w:eastAsia="Times New Roman" w:hAnsi="Times New Roman"/>
          <w:i/>
          <w:iCs/>
          <w:sz w:val="20"/>
          <w:szCs w:val="20"/>
          <w:lang w:val="nl-NL"/>
        </w:rPr>
        <w:t>Bộ trưởng Bộ Tài chính ban hành Thông tư sửa đổi, bổ sung một số điều của Thông tư số 152/2015/TT-BTC ngày 02 tháng 10 năm 2015 của Bộ trưởng Bộ Tài chính hướng dẫn về thuế tài nguyên được sửa đổi, bổ sung bởi Thông tư số 41/2024/TT-BTC.”</w:t>
      </w:r>
    </w:p>
  </w:footnote>
  <w:footnote w:id="2">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1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Thông tư số </w:t>
      </w:r>
      <w:r w:rsidR="003B71F7">
        <w:rPr>
          <w:rFonts w:ascii="Times New Roman" w:hAnsi="Times New Roman"/>
        </w:rPr>
        <w:t>135</w:t>
      </w:r>
      <w:r w:rsidRPr="00C17892">
        <w:rPr>
          <w:rFonts w:ascii="Times New Roman" w:hAnsi="Times New Roman"/>
        </w:rPr>
        <w:t>/2026/TT-</w:t>
      </w:r>
      <w:r>
        <w:rPr>
          <w:rFonts w:ascii="Times New Roman" w:hAnsi="Times New Roman"/>
        </w:rPr>
        <w:t>BTC</w:t>
      </w:r>
      <w:r w:rsidR="00502443">
        <w:rPr>
          <w:rFonts w:ascii="Times New Roman" w:eastAsia="Times New Roman" w:hAnsi="Times New Roman"/>
          <w:iCs/>
          <w:lang w:val="nl-NL"/>
        </w:rPr>
        <w:t xml:space="preserve">, có hiệu lực kể từ ngày </w:t>
      </w:r>
      <w:r w:rsidR="003B71F7">
        <w:rPr>
          <w:rFonts w:ascii="Times New Roman" w:eastAsia="Times New Roman" w:hAnsi="Times New Roman"/>
          <w:iCs/>
          <w:lang w:val="nl-NL"/>
        </w:rPr>
        <w:t>09</w:t>
      </w:r>
      <w:r w:rsidR="00502443">
        <w:rPr>
          <w:rFonts w:ascii="Times New Roman" w:eastAsia="Times New Roman" w:hAnsi="Times New Roman"/>
          <w:iCs/>
          <w:lang w:val="nl-NL"/>
        </w:rPr>
        <w:t xml:space="preserve"> tháng</w:t>
      </w:r>
      <w:r w:rsidR="003B71F7">
        <w:rPr>
          <w:rFonts w:ascii="Times New Roman" w:eastAsia="Times New Roman" w:hAnsi="Times New Roman"/>
          <w:iCs/>
          <w:lang w:val="nl-NL"/>
        </w:rPr>
        <w:t xml:space="preserve"> 9 </w:t>
      </w:r>
      <w:r w:rsidR="00502443">
        <w:rPr>
          <w:rFonts w:ascii="Times New Roman" w:eastAsia="Times New Roman" w:hAnsi="Times New Roman"/>
          <w:iCs/>
          <w:lang w:val="nl-NL"/>
        </w:rPr>
        <w:t>năm 2026</w:t>
      </w:r>
      <w:r>
        <w:rPr>
          <w:rFonts w:ascii="Times New Roman" w:eastAsia="Times New Roman" w:hAnsi="Times New Roman"/>
          <w:iCs/>
          <w:lang w:val="nl-NL"/>
        </w:rPr>
        <w:t>.</w:t>
      </w:r>
    </w:p>
  </w:footnote>
  <w:footnote w:id="3">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2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Thông tư số </w:t>
      </w:r>
      <w:r w:rsidR="003B71F7">
        <w:rPr>
          <w:rFonts w:ascii="Times New Roman" w:hAnsi="Times New Roman"/>
        </w:rPr>
        <w:t>135</w:t>
      </w:r>
      <w:r w:rsidRPr="00C17892">
        <w:rPr>
          <w:rFonts w:ascii="Times New Roman" w:hAnsi="Times New Roman"/>
        </w:rPr>
        <w:t>/2026/TT-</w:t>
      </w:r>
      <w:r>
        <w:rPr>
          <w:rFonts w:ascii="Times New Roman" w:hAnsi="Times New Roman"/>
        </w:rPr>
        <w:t>BTC</w:t>
      </w:r>
      <w:r w:rsidR="003B71F7">
        <w:rPr>
          <w:rFonts w:ascii="Times New Roman" w:eastAsia="Times New Roman" w:hAnsi="Times New Roman"/>
          <w:iCs/>
          <w:lang w:val="nl-NL"/>
        </w:rPr>
        <w:t>, có hiệu lực kể từ ngày 09</w:t>
      </w:r>
      <w:r w:rsidR="00502443">
        <w:rPr>
          <w:rFonts w:ascii="Times New Roman" w:eastAsia="Times New Roman" w:hAnsi="Times New Roman"/>
          <w:iCs/>
          <w:lang w:val="nl-NL"/>
        </w:rPr>
        <w:t xml:space="preserve"> tháng</w:t>
      </w:r>
      <w:r w:rsidR="003B71F7">
        <w:rPr>
          <w:rFonts w:ascii="Times New Roman" w:eastAsia="Times New Roman" w:hAnsi="Times New Roman"/>
          <w:iCs/>
          <w:lang w:val="nl-NL"/>
        </w:rPr>
        <w:t xml:space="preserve"> 9</w:t>
      </w:r>
      <w:r w:rsidR="00502443">
        <w:rPr>
          <w:rFonts w:ascii="Times New Roman" w:eastAsia="Times New Roman" w:hAnsi="Times New Roman"/>
          <w:iCs/>
          <w:lang w:val="nl-NL"/>
        </w:rPr>
        <w:t xml:space="preserve"> năm 2026</w:t>
      </w:r>
      <w:r>
        <w:rPr>
          <w:rFonts w:ascii="Times New Roman" w:eastAsia="Times New Roman" w:hAnsi="Times New Roman"/>
          <w:iCs/>
          <w:lang w:val="nl-NL"/>
        </w:rPr>
        <w:t>.</w:t>
      </w:r>
    </w:p>
  </w:footnote>
  <w:footnote w:id="4">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3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Thông tư số </w:t>
      </w:r>
      <w:r w:rsidR="003B71F7">
        <w:rPr>
          <w:rFonts w:ascii="Times New Roman" w:hAnsi="Times New Roman"/>
        </w:rPr>
        <w:t>135</w:t>
      </w:r>
      <w:r w:rsidRPr="00C17892">
        <w:rPr>
          <w:rFonts w:ascii="Times New Roman" w:hAnsi="Times New Roman"/>
        </w:rPr>
        <w:t>/2026/TT-</w:t>
      </w:r>
      <w:r>
        <w:rPr>
          <w:rFonts w:ascii="Times New Roman" w:hAnsi="Times New Roman"/>
        </w:rPr>
        <w:t>BTC</w:t>
      </w:r>
      <w:r w:rsidR="003B71F7">
        <w:rPr>
          <w:rFonts w:ascii="Times New Roman" w:eastAsia="Times New Roman" w:hAnsi="Times New Roman"/>
          <w:iCs/>
          <w:lang w:val="nl-NL"/>
        </w:rPr>
        <w:t>, có hiệu lực kể từ ngày 09</w:t>
      </w:r>
      <w:r w:rsidR="00502443">
        <w:rPr>
          <w:rFonts w:ascii="Times New Roman" w:eastAsia="Times New Roman" w:hAnsi="Times New Roman"/>
          <w:iCs/>
          <w:lang w:val="nl-NL"/>
        </w:rPr>
        <w:t xml:space="preserve"> tháng</w:t>
      </w:r>
      <w:r w:rsidR="003B71F7">
        <w:rPr>
          <w:rFonts w:ascii="Times New Roman" w:eastAsia="Times New Roman" w:hAnsi="Times New Roman"/>
          <w:iCs/>
          <w:lang w:val="nl-NL"/>
        </w:rPr>
        <w:t xml:space="preserve"> 9</w:t>
      </w:r>
      <w:r w:rsidR="00502443">
        <w:rPr>
          <w:rFonts w:ascii="Times New Roman" w:eastAsia="Times New Roman" w:hAnsi="Times New Roman"/>
          <w:iCs/>
          <w:lang w:val="nl-NL"/>
        </w:rPr>
        <w:t xml:space="preserve"> năm 2026</w:t>
      </w:r>
      <w:r>
        <w:rPr>
          <w:rFonts w:ascii="Times New Roman" w:eastAsia="Times New Roman" w:hAnsi="Times New Roman"/>
          <w:iCs/>
          <w:lang w:val="nl-NL"/>
        </w:rPr>
        <w:t>.</w:t>
      </w:r>
    </w:p>
    <w:p w:rsidR="00214BFD" w:rsidRDefault="00214BFD">
      <w:pPr>
        <w:pStyle w:val="FootnoteText"/>
      </w:pPr>
    </w:p>
  </w:footnote>
  <w:footnote w:id="5">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4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w:t>
      </w:r>
      <w:r w:rsidR="003B71F7" w:rsidRPr="00C17892">
        <w:rPr>
          <w:rFonts w:ascii="Times New Roman" w:hAnsi="Times New Roman"/>
        </w:rPr>
        <w:t xml:space="preserve">Thông tư số </w:t>
      </w:r>
      <w:r w:rsidR="003B71F7">
        <w:rPr>
          <w:rFonts w:ascii="Times New Roman" w:hAnsi="Times New Roman"/>
        </w:rPr>
        <w:t>135</w:t>
      </w:r>
      <w:r w:rsidR="003B71F7" w:rsidRPr="00C17892">
        <w:rPr>
          <w:rFonts w:ascii="Times New Roman" w:hAnsi="Times New Roman"/>
        </w:rPr>
        <w:t>/2026/TT-</w:t>
      </w:r>
      <w:r w:rsidR="003B71F7">
        <w:rPr>
          <w:rFonts w:ascii="Times New Roman" w:hAnsi="Times New Roman"/>
        </w:rPr>
        <w:t>BTC</w:t>
      </w:r>
      <w:r w:rsidR="003B71F7">
        <w:rPr>
          <w:rFonts w:ascii="Times New Roman" w:eastAsia="Times New Roman" w:hAnsi="Times New Roman"/>
          <w:iCs/>
          <w:lang w:val="nl-NL"/>
        </w:rPr>
        <w:t>, có hiệu lực kể từ ngày 09 tháng 9 năm 2026</w:t>
      </w:r>
      <w:r w:rsidRPr="00C17892">
        <w:rPr>
          <w:rFonts w:ascii="Times New Roman" w:eastAsia="Times New Roman" w:hAnsi="Times New Roman"/>
          <w:iCs/>
          <w:lang w:val="nl-NL"/>
        </w:rPr>
        <w:t>.</w:t>
      </w:r>
    </w:p>
  </w:footnote>
  <w:footnote w:id="6">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w:t>
      </w:r>
      <w:r>
        <w:rPr>
          <w:rFonts w:ascii="Times New Roman" w:eastAsia="Times New Roman" w:hAnsi="Times New Roman"/>
          <w:iCs/>
          <w:lang w:val="nl-NL"/>
        </w:rPr>
        <w:t>5</w:t>
      </w:r>
      <w:r w:rsidRPr="00C17892">
        <w:rPr>
          <w:rFonts w:ascii="Times New Roman" w:eastAsia="Times New Roman" w:hAnsi="Times New Roman"/>
          <w:iCs/>
          <w:lang w:val="nl-NL"/>
        </w:rPr>
        <w:t xml:space="preserve">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w:t>
      </w:r>
      <w:r w:rsidR="003B71F7" w:rsidRPr="00C17892">
        <w:rPr>
          <w:rFonts w:ascii="Times New Roman" w:hAnsi="Times New Roman"/>
        </w:rPr>
        <w:t xml:space="preserve">Thông tư số </w:t>
      </w:r>
      <w:r w:rsidR="003B71F7">
        <w:rPr>
          <w:rFonts w:ascii="Times New Roman" w:hAnsi="Times New Roman"/>
        </w:rPr>
        <w:t>135</w:t>
      </w:r>
      <w:r w:rsidR="003B71F7" w:rsidRPr="00C17892">
        <w:rPr>
          <w:rFonts w:ascii="Times New Roman" w:hAnsi="Times New Roman"/>
        </w:rPr>
        <w:t>/2026/TT-</w:t>
      </w:r>
      <w:r w:rsidR="003B71F7">
        <w:rPr>
          <w:rFonts w:ascii="Times New Roman" w:hAnsi="Times New Roman"/>
        </w:rPr>
        <w:t>BTC</w:t>
      </w:r>
      <w:r w:rsidR="003B71F7">
        <w:rPr>
          <w:rFonts w:ascii="Times New Roman" w:eastAsia="Times New Roman" w:hAnsi="Times New Roman"/>
          <w:iCs/>
          <w:lang w:val="nl-NL"/>
        </w:rPr>
        <w:t>, có hiệu lực kể từ ngày 09 tháng 9 năm 2026</w:t>
      </w:r>
      <w:r w:rsidRPr="00C17892">
        <w:rPr>
          <w:rFonts w:ascii="Times New Roman" w:eastAsia="Times New Roman" w:hAnsi="Times New Roman"/>
          <w:iCs/>
          <w:lang w:val="nl-NL"/>
        </w:rPr>
        <w:t>.</w:t>
      </w:r>
    </w:p>
  </w:footnote>
  <w:footnote w:id="7">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w:t>
      </w:r>
      <w:r>
        <w:rPr>
          <w:rFonts w:ascii="Times New Roman" w:eastAsia="Times New Roman" w:hAnsi="Times New Roman"/>
          <w:iCs/>
          <w:lang w:val="nl-NL"/>
        </w:rPr>
        <w:t>6</w:t>
      </w:r>
      <w:r w:rsidRPr="00C17892">
        <w:rPr>
          <w:rFonts w:ascii="Times New Roman" w:eastAsia="Times New Roman" w:hAnsi="Times New Roman"/>
          <w:iCs/>
          <w:lang w:val="nl-NL"/>
        </w:rPr>
        <w:t xml:space="preserve">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w:t>
      </w:r>
      <w:r w:rsidR="003B71F7" w:rsidRPr="00C17892">
        <w:rPr>
          <w:rFonts w:ascii="Times New Roman" w:hAnsi="Times New Roman"/>
        </w:rPr>
        <w:t xml:space="preserve">Thông tư số </w:t>
      </w:r>
      <w:r w:rsidR="003B71F7">
        <w:rPr>
          <w:rFonts w:ascii="Times New Roman" w:hAnsi="Times New Roman"/>
        </w:rPr>
        <w:t>135</w:t>
      </w:r>
      <w:r w:rsidR="003B71F7" w:rsidRPr="00C17892">
        <w:rPr>
          <w:rFonts w:ascii="Times New Roman" w:hAnsi="Times New Roman"/>
        </w:rPr>
        <w:t>/2026/TT-</w:t>
      </w:r>
      <w:r w:rsidR="003B71F7">
        <w:rPr>
          <w:rFonts w:ascii="Times New Roman" w:hAnsi="Times New Roman"/>
        </w:rPr>
        <w:t>BTC</w:t>
      </w:r>
      <w:r w:rsidR="003B71F7">
        <w:rPr>
          <w:rFonts w:ascii="Times New Roman" w:eastAsia="Times New Roman" w:hAnsi="Times New Roman"/>
          <w:iCs/>
          <w:lang w:val="nl-NL"/>
        </w:rPr>
        <w:t>, có hiệu lực kể từ ngày 09 tháng 9 năm 2026</w:t>
      </w:r>
      <w:r w:rsidRPr="00C17892">
        <w:rPr>
          <w:rFonts w:ascii="Times New Roman" w:eastAsia="Times New Roman" w:hAnsi="Times New Roman"/>
          <w:iCs/>
          <w:lang w:val="nl-NL"/>
        </w:rPr>
        <w:t>.</w:t>
      </w:r>
    </w:p>
  </w:footnote>
  <w:footnote w:id="8">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w:t>
      </w:r>
      <w:r>
        <w:rPr>
          <w:rFonts w:ascii="Times New Roman" w:eastAsia="Times New Roman" w:hAnsi="Times New Roman"/>
          <w:iCs/>
          <w:lang w:val="nl-NL"/>
        </w:rPr>
        <w:t>7</w:t>
      </w:r>
      <w:r w:rsidRPr="00C17892">
        <w:rPr>
          <w:rFonts w:ascii="Times New Roman" w:eastAsia="Times New Roman" w:hAnsi="Times New Roman"/>
          <w:iCs/>
          <w:lang w:val="nl-NL"/>
        </w:rPr>
        <w:t xml:space="preserve"> </w:t>
      </w:r>
      <w:r>
        <w:rPr>
          <w:rFonts w:ascii="Times New Roman" w:eastAsia="Times New Roman" w:hAnsi="Times New Roman"/>
          <w:iCs/>
          <w:lang w:val="nl-NL"/>
        </w:rPr>
        <w:t xml:space="preserve">được bãi bỏ theo quy định tại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C17892">
        <w:rPr>
          <w:rFonts w:ascii="Times New Roman" w:hAnsi="Times New Roman"/>
        </w:rPr>
        <w:t xml:space="preserve">hoản 1 Điều </w:t>
      </w:r>
      <w:r w:rsidR="00FE4A65">
        <w:rPr>
          <w:rFonts w:ascii="Times New Roman" w:hAnsi="Times New Roman"/>
        </w:rPr>
        <w:t>2</w:t>
      </w:r>
      <w:r w:rsidRPr="00C17892">
        <w:rPr>
          <w:rFonts w:ascii="Times New Roman" w:hAnsi="Times New Roman"/>
        </w:rPr>
        <w:t xml:space="preserve"> </w:t>
      </w:r>
      <w:r w:rsidR="003B71F7" w:rsidRPr="00C17892">
        <w:rPr>
          <w:rFonts w:ascii="Times New Roman" w:hAnsi="Times New Roman"/>
        </w:rPr>
        <w:t xml:space="preserve">Thông tư số </w:t>
      </w:r>
      <w:r w:rsidR="003B71F7">
        <w:rPr>
          <w:rFonts w:ascii="Times New Roman" w:hAnsi="Times New Roman"/>
        </w:rPr>
        <w:t>135</w:t>
      </w:r>
      <w:r w:rsidR="003B71F7" w:rsidRPr="00C17892">
        <w:rPr>
          <w:rFonts w:ascii="Times New Roman" w:hAnsi="Times New Roman"/>
        </w:rPr>
        <w:t>/2026/TT-</w:t>
      </w:r>
      <w:r w:rsidR="003B71F7">
        <w:rPr>
          <w:rFonts w:ascii="Times New Roman" w:hAnsi="Times New Roman"/>
        </w:rPr>
        <w:t>BTC</w:t>
      </w:r>
      <w:r w:rsidR="003B71F7">
        <w:rPr>
          <w:rFonts w:ascii="Times New Roman" w:eastAsia="Times New Roman" w:hAnsi="Times New Roman"/>
          <w:iCs/>
          <w:lang w:val="nl-NL"/>
        </w:rPr>
        <w:t>, có hiệu lực kể từ ngày 09 tháng 9 năm 2026</w:t>
      </w:r>
      <w:r w:rsidRPr="00C17892">
        <w:rPr>
          <w:rFonts w:ascii="Times New Roman" w:eastAsia="Times New Roman" w:hAnsi="Times New Roman"/>
          <w:iCs/>
          <w:lang w:val="nl-NL"/>
        </w:rPr>
        <w:t>.</w:t>
      </w:r>
    </w:p>
  </w:footnote>
  <w:footnote w:id="9">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w:t>
      </w:r>
      <w:r w:rsidR="007A3A83">
        <w:rPr>
          <w:rFonts w:ascii="Times New Roman" w:hAnsi="Times New Roman"/>
        </w:rPr>
        <w:t>m 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0">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w:t>
      </w:r>
      <w:r w:rsidR="007A3A83">
        <w:rPr>
          <w:rFonts w:ascii="Times New Roman" w:hAnsi="Times New Roman"/>
        </w:rPr>
        <w:t>m 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1">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w:t>
      </w:r>
      <w:r w:rsidR="007A3A83">
        <w:rPr>
          <w:rFonts w:ascii="Times New Roman" w:hAnsi="Times New Roman"/>
        </w:rPr>
        <w:t>m 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2">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w:t>
      </w:r>
      <w:r w:rsidR="007A3A83">
        <w:rPr>
          <w:rFonts w:ascii="Times New Roman" w:hAnsi="Times New Roman"/>
        </w:rPr>
        <w:t>m 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3">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điểm </w:t>
      </w:r>
      <w:r w:rsidR="007A3A83">
        <w:rPr>
          <w:rFonts w:ascii="Times New Roman" w:hAnsi="Times New Roman"/>
        </w:rPr>
        <w:t>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4">
    <w:p w:rsidR="00BE4B6E" w:rsidRPr="00BE4B6E" w:rsidRDefault="00BE4B6E" w:rsidP="00BE4B6E">
      <w:pPr>
        <w:pStyle w:val="FootnoteText"/>
        <w:spacing w:after="0" w:line="240" w:lineRule="auto"/>
        <w:ind w:firstLine="709"/>
        <w:jc w:val="both"/>
        <w:rPr>
          <w:rFonts w:ascii="Times New Roman" w:hAnsi="Times New Roman"/>
        </w:rPr>
      </w:pPr>
      <w:r w:rsidRPr="00BE4B6E">
        <w:rPr>
          <w:rStyle w:val="FootnoteReference"/>
          <w:rFonts w:ascii="Times New Roman" w:hAnsi="Times New Roman"/>
        </w:rPr>
        <w:footnoteRef/>
      </w:r>
      <w:r w:rsidRPr="00BE4B6E">
        <w:rPr>
          <w:rFonts w:ascii="Times New Roman" w:hAnsi="Times New Roman"/>
        </w:rPr>
        <w:t xml:space="preserve"> Cụm từ “tài nguyên và môi trường” được thay thế bởi cụm từ “nông nghiệp và môi trường” theo quy định tại điểm </w:t>
      </w:r>
      <w:r w:rsidR="007A3A83">
        <w:rPr>
          <w:rFonts w:ascii="Times New Roman" w:hAnsi="Times New Roman"/>
        </w:rPr>
        <w:t>d</w:t>
      </w:r>
      <w:r w:rsidRPr="00BE4B6E">
        <w:rPr>
          <w:rFonts w:ascii="Times New Roman" w:hAnsi="Times New Roman"/>
        </w:rPr>
        <w:t xml:space="preserve"> khoản 1 Điều 2 </w:t>
      </w:r>
      <w:r w:rsidR="0045067A" w:rsidRPr="00C17892">
        <w:rPr>
          <w:rFonts w:ascii="Times New Roman" w:hAnsi="Times New Roman"/>
        </w:rPr>
        <w:t xml:space="preserve">Thông tư số </w:t>
      </w:r>
      <w:r w:rsidR="0045067A">
        <w:rPr>
          <w:rFonts w:ascii="Times New Roman" w:hAnsi="Times New Roman"/>
        </w:rPr>
        <w:t>135</w:t>
      </w:r>
      <w:r w:rsidR="0045067A" w:rsidRPr="00C17892">
        <w:rPr>
          <w:rFonts w:ascii="Times New Roman" w:hAnsi="Times New Roman"/>
        </w:rPr>
        <w:t>/2026/TT-</w:t>
      </w:r>
      <w:r w:rsidR="0045067A">
        <w:rPr>
          <w:rFonts w:ascii="Times New Roman" w:hAnsi="Times New Roman"/>
        </w:rPr>
        <w:t>BTC</w:t>
      </w:r>
      <w:r w:rsidR="0045067A">
        <w:rPr>
          <w:rFonts w:ascii="Times New Roman" w:eastAsia="Times New Roman" w:hAnsi="Times New Roman"/>
          <w:iCs/>
          <w:lang w:val="nl-NL"/>
        </w:rPr>
        <w:t>, có hiệu lực kể từ ngày 09 tháng 9 năm 2026</w:t>
      </w:r>
      <w:r w:rsidRPr="00BE4B6E">
        <w:rPr>
          <w:rFonts w:ascii="Times New Roman" w:eastAsia="Times New Roman" w:hAnsi="Times New Roman"/>
          <w:iCs/>
          <w:lang w:val="nl-NL"/>
        </w:rPr>
        <w:t>.</w:t>
      </w:r>
    </w:p>
  </w:footnote>
  <w:footnote w:id="15">
    <w:p w:rsidR="00214BFD" w:rsidRPr="00F62B25" w:rsidRDefault="00214BFD" w:rsidP="00F62B25">
      <w:pPr>
        <w:pStyle w:val="FootnoteText"/>
        <w:spacing w:after="0" w:line="240" w:lineRule="auto"/>
        <w:ind w:firstLine="709"/>
        <w:jc w:val="both"/>
        <w:rPr>
          <w:rFonts w:ascii="Times New Roman" w:hAnsi="Times New Roman"/>
        </w:rPr>
      </w:pPr>
      <w:r w:rsidRPr="00F62B25">
        <w:rPr>
          <w:rStyle w:val="FootnoteReference"/>
          <w:rFonts w:ascii="Times New Roman" w:hAnsi="Times New Roman"/>
        </w:rPr>
        <w:footnoteRef/>
      </w:r>
      <w:r w:rsidRPr="00F62B25">
        <w:rPr>
          <w:rFonts w:ascii="Times New Roman" w:hAnsi="Times New Roman"/>
        </w:rPr>
        <w:t xml:space="preserve"> </w:t>
      </w:r>
      <w:r w:rsidRPr="00F62B25">
        <w:rPr>
          <w:rFonts w:ascii="Times New Roman" w:eastAsia="Times New Roman" w:hAnsi="Times New Roman"/>
          <w:iCs/>
          <w:lang w:val="nl-NL"/>
        </w:rPr>
        <w:t>Ví dụ 8</w:t>
      </w:r>
      <w:r>
        <w:rPr>
          <w:rFonts w:ascii="Times New Roman" w:eastAsia="Times New Roman" w:hAnsi="Times New Roman"/>
          <w:iCs/>
          <w:lang w:val="nl-NL"/>
        </w:rPr>
        <w:t xml:space="preserve"> được bãi bỏ theo </w:t>
      </w:r>
      <w:r w:rsidR="00F06832">
        <w:rPr>
          <w:rFonts w:ascii="Times New Roman" w:eastAsia="Times New Roman" w:hAnsi="Times New Roman"/>
          <w:iCs/>
          <w:lang w:val="nl-NL"/>
        </w:rPr>
        <w:t xml:space="preserve">điểm a </w:t>
      </w:r>
      <w:r>
        <w:rPr>
          <w:rFonts w:ascii="Times New Roman" w:eastAsia="Times New Roman" w:hAnsi="Times New Roman"/>
          <w:iCs/>
          <w:lang w:val="nl-NL"/>
        </w:rPr>
        <w:t>k</w:t>
      </w:r>
      <w:r w:rsidRPr="00F62B25">
        <w:rPr>
          <w:rFonts w:ascii="Times New Roman" w:hAnsi="Times New Roman"/>
        </w:rPr>
        <w:t>hoản 1 Điề</w:t>
      </w:r>
      <w:r>
        <w:rPr>
          <w:rFonts w:ascii="Times New Roman" w:hAnsi="Times New Roman"/>
        </w:rPr>
        <w:t xml:space="preserve">u </w:t>
      </w:r>
      <w:r w:rsidR="00FE4A65">
        <w:rPr>
          <w:rFonts w:ascii="Times New Roman" w:hAnsi="Times New Roman"/>
        </w:rPr>
        <w:t>2</w:t>
      </w:r>
      <w:r w:rsidRPr="00F62B25">
        <w:rPr>
          <w:rFonts w:ascii="Times New Roman" w:hAnsi="Times New Roman"/>
        </w:rPr>
        <w:t xml:space="preserve"> </w:t>
      </w:r>
      <w:r w:rsidR="006578F7" w:rsidRPr="00C17892">
        <w:rPr>
          <w:rFonts w:ascii="Times New Roman" w:hAnsi="Times New Roman"/>
        </w:rPr>
        <w:t xml:space="preserve">Thông tư số </w:t>
      </w:r>
      <w:r w:rsidR="006578F7">
        <w:rPr>
          <w:rFonts w:ascii="Times New Roman" w:hAnsi="Times New Roman"/>
        </w:rPr>
        <w:t>135</w:t>
      </w:r>
      <w:r w:rsidR="006578F7" w:rsidRPr="00C17892">
        <w:rPr>
          <w:rFonts w:ascii="Times New Roman" w:hAnsi="Times New Roman"/>
        </w:rPr>
        <w:t>/2026/TT-</w:t>
      </w:r>
      <w:r w:rsidR="006578F7">
        <w:rPr>
          <w:rFonts w:ascii="Times New Roman" w:hAnsi="Times New Roman"/>
        </w:rPr>
        <w:t>BTC</w:t>
      </w:r>
      <w:r w:rsidR="006578F7">
        <w:rPr>
          <w:rFonts w:ascii="Times New Roman" w:eastAsia="Times New Roman" w:hAnsi="Times New Roman"/>
          <w:iCs/>
          <w:lang w:val="nl-NL"/>
        </w:rPr>
        <w:t>, có hiệu lực kể từ ngày 09 tháng 9 năm 2026</w:t>
      </w:r>
      <w:r w:rsidR="00502443">
        <w:rPr>
          <w:rFonts w:ascii="Times New Roman" w:eastAsia="Times New Roman" w:hAnsi="Times New Roman"/>
          <w:iCs/>
          <w:lang w:val="nl-NL"/>
        </w:rPr>
        <w:t>.</w:t>
      </w:r>
    </w:p>
  </w:footnote>
  <w:footnote w:id="16">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00F06832">
        <w:rPr>
          <w:rFonts w:ascii="Times New Roman" w:hAnsi="Times New Roman"/>
        </w:rPr>
        <w:t xml:space="preserve">Nội dung </w:t>
      </w:r>
      <w:r w:rsidR="00F06832" w:rsidRPr="00F06832">
        <w:rPr>
          <w:rFonts w:ascii="Times New Roman" w:hAnsi="Times New Roman"/>
        </w:rPr>
        <w:t>“</w:t>
      </w:r>
      <w:r w:rsidR="00F06832" w:rsidRPr="00F06832">
        <w:rPr>
          <w:rFonts w:ascii="Times New Roman" w:hAnsi="Times New Roman"/>
          <w:lang w:val="de-DE"/>
        </w:rPr>
        <w:t>Chi phí chế biến phát sinh của công đoạn chế biến từ sản phẩm tài nguyên thành sản phẩm công nghiệp được trừ khi xác định giá tính thuế căn cứ công nghệ chế biến của doanh nghiệp theo Dự án đã được phê duyệt nhưng không bao gồm chi phí khai thác, sàng, tuyển, làm giàu hàm lượng.</w:t>
      </w:r>
      <w:r w:rsidR="00F06832" w:rsidRPr="00F06832">
        <w:rPr>
          <w:rFonts w:ascii="Times New Roman" w:hAnsi="Times New Roman"/>
        </w:rPr>
        <w:t>”</w:t>
      </w:r>
      <w:r w:rsidR="00F06832" w:rsidRPr="00192C03">
        <w:rPr>
          <w:sz w:val="28"/>
          <w:szCs w:val="28"/>
          <w:lang w:val="de-DE"/>
        </w:rPr>
        <w:t xml:space="preserve"> </w:t>
      </w:r>
      <w:r w:rsidR="009F3796">
        <w:rPr>
          <w:rFonts w:ascii="Times New Roman" w:hAnsi="Times New Roman"/>
        </w:rPr>
        <w:t xml:space="preserve">được </w:t>
      </w:r>
      <w:r w:rsidR="00F06832">
        <w:rPr>
          <w:rFonts w:ascii="Times New Roman" w:hAnsi="Times New Roman"/>
        </w:rPr>
        <w:t>bãi bỏ</w:t>
      </w:r>
      <w:r w:rsidR="009F3796">
        <w:rPr>
          <w:rFonts w:ascii="Times New Roman" w:hAnsi="Times New Roman"/>
        </w:rPr>
        <w:t xml:space="preserve"> </w:t>
      </w:r>
      <w:r w:rsidR="00502443">
        <w:rPr>
          <w:rFonts w:ascii="Times New Roman" w:hAnsi="Times New Roman"/>
          <w:color w:val="000000"/>
        </w:rPr>
        <w:t>theo</w:t>
      </w:r>
      <w:r w:rsidR="00502443">
        <w:rPr>
          <w:rFonts w:ascii="Times New Roman" w:eastAsia="Times New Roman" w:hAnsi="Times New Roman"/>
          <w:iCs/>
          <w:lang w:val="nl-NL"/>
        </w:rPr>
        <w:t xml:space="preserve"> quy định tại </w:t>
      </w:r>
      <w:r w:rsidR="00F06832">
        <w:rPr>
          <w:rFonts w:ascii="Times New Roman" w:eastAsia="Times New Roman" w:hAnsi="Times New Roman"/>
          <w:iCs/>
          <w:lang w:val="nl-NL"/>
        </w:rPr>
        <w:t xml:space="preserve">điểm b </w:t>
      </w:r>
      <w:r w:rsidR="00502443">
        <w:rPr>
          <w:rFonts w:ascii="Times New Roman" w:eastAsia="Times New Roman" w:hAnsi="Times New Roman"/>
          <w:iCs/>
          <w:lang w:val="nl-NL"/>
        </w:rPr>
        <w:t>k</w:t>
      </w:r>
      <w:r w:rsidR="00502443" w:rsidRPr="00C17892">
        <w:rPr>
          <w:rFonts w:ascii="Times New Roman" w:hAnsi="Times New Roman"/>
        </w:rPr>
        <w:t>hoả</w:t>
      </w:r>
      <w:r w:rsidR="00502443">
        <w:rPr>
          <w:rFonts w:ascii="Times New Roman" w:hAnsi="Times New Roman"/>
        </w:rPr>
        <w:t xml:space="preserve">n </w:t>
      </w:r>
      <w:r w:rsidR="009F3796">
        <w:rPr>
          <w:rFonts w:ascii="Times New Roman" w:hAnsi="Times New Roman"/>
        </w:rPr>
        <w:t>1</w:t>
      </w:r>
      <w:r w:rsidR="00502443" w:rsidRPr="00C17892">
        <w:rPr>
          <w:rFonts w:ascii="Times New Roman" w:hAnsi="Times New Roman"/>
        </w:rPr>
        <w:t xml:space="preserve"> Điều </w:t>
      </w:r>
      <w:r w:rsidR="00F06832">
        <w:rPr>
          <w:rFonts w:ascii="Times New Roman" w:hAnsi="Times New Roman"/>
        </w:rPr>
        <w:t>2</w:t>
      </w:r>
      <w:r w:rsidR="00502443" w:rsidRPr="00C17892">
        <w:rPr>
          <w:rFonts w:ascii="Times New Roman" w:hAnsi="Times New Roman"/>
        </w:rPr>
        <w:t xml:space="preserve"> </w:t>
      </w:r>
      <w:r w:rsidR="006578F7" w:rsidRPr="00C17892">
        <w:rPr>
          <w:rFonts w:ascii="Times New Roman" w:hAnsi="Times New Roman"/>
        </w:rPr>
        <w:t xml:space="preserve">Thông tư số </w:t>
      </w:r>
      <w:r w:rsidR="006578F7">
        <w:rPr>
          <w:rFonts w:ascii="Times New Roman" w:hAnsi="Times New Roman"/>
        </w:rPr>
        <w:t>135</w:t>
      </w:r>
      <w:r w:rsidR="006578F7" w:rsidRPr="00C17892">
        <w:rPr>
          <w:rFonts w:ascii="Times New Roman" w:hAnsi="Times New Roman"/>
        </w:rPr>
        <w:t>/2026/TT-</w:t>
      </w:r>
      <w:r w:rsidR="006578F7">
        <w:rPr>
          <w:rFonts w:ascii="Times New Roman" w:hAnsi="Times New Roman"/>
        </w:rPr>
        <w:t>BTC</w:t>
      </w:r>
      <w:r w:rsidR="006578F7">
        <w:rPr>
          <w:rFonts w:ascii="Times New Roman" w:eastAsia="Times New Roman" w:hAnsi="Times New Roman"/>
          <w:iCs/>
          <w:lang w:val="nl-NL"/>
        </w:rPr>
        <w:t>, có hiệu lực kể từ ngày 09 tháng 9 năm 2026</w:t>
      </w:r>
      <w:r w:rsidR="00502443">
        <w:rPr>
          <w:rFonts w:ascii="Times New Roman" w:eastAsia="Times New Roman" w:hAnsi="Times New Roman"/>
          <w:iCs/>
          <w:lang w:val="nl-NL"/>
        </w:rPr>
        <w:t>.</w:t>
      </w:r>
    </w:p>
  </w:footnote>
  <w:footnote w:id="17">
    <w:p w:rsidR="00214BFD" w:rsidRPr="00C17892"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eastAsia="Times New Roman" w:hAnsi="Times New Roman"/>
          <w:iCs/>
          <w:lang w:val="nl-NL"/>
        </w:rPr>
        <w:t xml:space="preserve">Ví dụ </w:t>
      </w:r>
      <w:r>
        <w:rPr>
          <w:rFonts w:ascii="Times New Roman" w:eastAsia="Times New Roman" w:hAnsi="Times New Roman"/>
          <w:iCs/>
          <w:lang w:val="nl-NL"/>
        </w:rPr>
        <w:t>9</w:t>
      </w:r>
      <w:r w:rsidRPr="00C17892">
        <w:rPr>
          <w:rFonts w:ascii="Times New Roman" w:eastAsia="Times New Roman" w:hAnsi="Times New Roman"/>
          <w:iCs/>
          <w:lang w:val="nl-NL"/>
        </w:rPr>
        <w:t xml:space="preserve"> </w:t>
      </w:r>
      <w:r w:rsidR="00502443">
        <w:rPr>
          <w:rFonts w:ascii="Times New Roman" w:eastAsia="Times New Roman" w:hAnsi="Times New Roman"/>
          <w:iCs/>
          <w:lang w:val="nl-NL"/>
        </w:rPr>
        <w:t>được bãi bỏ theo quy định tại</w:t>
      </w:r>
      <w:r w:rsidR="00F06832" w:rsidRPr="00F06832">
        <w:rPr>
          <w:rFonts w:ascii="Times New Roman" w:eastAsia="Times New Roman" w:hAnsi="Times New Roman"/>
          <w:iCs/>
          <w:lang w:val="nl-NL"/>
        </w:rPr>
        <w:t xml:space="preserve"> </w:t>
      </w:r>
      <w:r w:rsidR="00F06832">
        <w:rPr>
          <w:rFonts w:ascii="Times New Roman" w:eastAsia="Times New Roman" w:hAnsi="Times New Roman"/>
          <w:iCs/>
          <w:lang w:val="nl-NL"/>
        </w:rPr>
        <w:t>điểm a</w:t>
      </w:r>
      <w:r w:rsidR="00502443">
        <w:rPr>
          <w:rFonts w:ascii="Times New Roman" w:eastAsia="Times New Roman" w:hAnsi="Times New Roman"/>
          <w:iCs/>
          <w:lang w:val="nl-NL"/>
        </w:rPr>
        <w:t xml:space="preserve"> k</w:t>
      </w:r>
      <w:r w:rsidR="00502443" w:rsidRPr="00C17892">
        <w:rPr>
          <w:rFonts w:ascii="Times New Roman" w:hAnsi="Times New Roman"/>
        </w:rPr>
        <w:t xml:space="preserve">hoản 1 Điều </w:t>
      </w:r>
      <w:r w:rsidR="00FE4A65">
        <w:rPr>
          <w:rFonts w:ascii="Times New Roman" w:hAnsi="Times New Roman"/>
        </w:rPr>
        <w:t>2</w:t>
      </w:r>
      <w:r w:rsidR="00502443" w:rsidRPr="00C17892">
        <w:rPr>
          <w:rFonts w:ascii="Times New Roman" w:hAnsi="Times New Roman"/>
        </w:rPr>
        <w:t xml:space="preserve"> </w:t>
      </w:r>
      <w:r w:rsidR="00B606E7" w:rsidRPr="00C17892">
        <w:rPr>
          <w:rFonts w:ascii="Times New Roman" w:hAnsi="Times New Roman"/>
        </w:rPr>
        <w:t xml:space="preserve">Thông tư số </w:t>
      </w:r>
      <w:r w:rsidR="00B606E7">
        <w:rPr>
          <w:rFonts w:ascii="Times New Roman" w:hAnsi="Times New Roman"/>
        </w:rPr>
        <w:t>135</w:t>
      </w:r>
      <w:r w:rsidR="00B606E7" w:rsidRPr="00C17892">
        <w:rPr>
          <w:rFonts w:ascii="Times New Roman" w:hAnsi="Times New Roman"/>
        </w:rPr>
        <w:t>/2026/TT-</w:t>
      </w:r>
      <w:r w:rsidR="00B606E7">
        <w:rPr>
          <w:rFonts w:ascii="Times New Roman" w:hAnsi="Times New Roman"/>
        </w:rPr>
        <w:t>BTC</w:t>
      </w:r>
      <w:r w:rsidR="00B606E7">
        <w:rPr>
          <w:rFonts w:ascii="Times New Roman" w:eastAsia="Times New Roman" w:hAnsi="Times New Roman"/>
          <w:iCs/>
          <w:lang w:val="nl-NL"/>
        </w:rPr>
        <w:t>, có hiệu lực kể từ ngày 09 tháng 9 năm 2026</w:t>
      </w:r>
      <w:r w:rsidR="00502443">
        <w:rPr>
          <w:rFonts w:ascii="Times New Roman" w:eastAsia="Times New Roman" w:hAnsi="Times New Roman"/>
          <w:iCs/>
          <w:lang w:val="nl-NL"/>
        </w:rPr>
        <w:t>.</w:t>
      </w:r>
    </w:p>
  </w:footnote>
  <w:footnote w:id="18">
    <w:p w:rsidR="00214BFD" w:rsidRPr="002D165A" w:rsidRDefault="00214BFD" w:rsidP="00F62B25">
      <w:pPr>
        <w:pStyle w:val="FootnoteText"/>
        <w:spacing w:after="0" w:line="240" w:lineRule="auto"/>
        <w:ind w:firstLine="709"/>
        <w:jc w:val="both"/>
        <w:rPr>
          <w:rFonts w:ascii="Times New Roman" w:hAnsi="Times New Roman"/>
        </w:rPr>
      </w:pPr>
      <w:r w:rsidRPr="00C17892">
        <w:rPr>
          <w:rStyle w:val="FootnoteReference"/>
          <w:rFonts w:ascii="Times New Roman" w:hAnsi="Times New Roman"/>
        </w:rPr>
        <w:footnoteRef/>
      </w:r>
      <w:r w:rsidRPr="00C17892">
        <w:rPr>
          <w:rFonts w:ascii="Times New Roman" w:hAnsi="Times New Roman"/>
        </w:rPr>
        <w:t xml:space="preserve"> </w:t>
      </w:r>
      <w:r w:rsidRPr="00C17892">
        <w:rPr>
          <w:rFonts w:ascii="Times New Roman" w:hAnsi="Times New Roman"/>
          <w:color w:val="000000"/>
          <w:shd w:val="clear" w:color="auto" w:fill="FFFFFF"/>
        </w:rPr>
        <w:t>Điểm này được sửa đổi, bổ sung theo quy định tại Điều 1 Thông tư 174/2016/TT-BTC, có hiệu lực kể từ ngày 12 tháng 12 năm 2016.</w:t>
      </w:r>
    </w:p>
  </w:footnote>
  <w:footnote w:id="19">
    <w:p w:rsidR="00214BFD" w:rsidRPr="00222E72" w:rsidRDefault="00214BFD" w:rsidP="00F62B25">
      <w:pPr>
        <w:pStyle w:val="FootnoteText"/>
        <w:spacing w:after="0" w:line="240" w:lineRule="auto"/>
        <w:ind w:firstLine="709"/>
        <w:jc w:val="both"/>
        <w:rPr>
          <w:rFonts w:ascii="Times New Roman" w:hAnsi="Times New Roman"/>
        </w:rPr>
      </w:pPr>
      <w:r w:rsidRPr="00222E72">
        <w:rPr>
          <w:rStyle w:val="FootnoteReference"/>
          <w:rFonts w:ascii="Times New Roman" w:hAnsi="Times New Roman"/>
        </w:rPr>
        <w:footnoteRef/>
      </w:r>
      <w:r w:rsidRPr="00222E72">
        <w:rPr>
          <w:rFonts w:ascii="Times New Roman" w:hAnsi="Times New Roman"/>
        </w:rPr>
        <w:t xml:space="preserve"> </w:t>
      </w:r>
      <w:r w:rsidR="00075396" w:rsidRPr="00075396">
        <w:rPr>
          <w:rFonts w:ascii="Times New Roman" w:hAnsi="Times New Roman"/>
        </w:rPr>
        <w:t>C</w:t>
      </w:r>
      <w:r w:rsidR="00075396" w:rsidRPr="00075396">
        <w:rPr>
          <w:rFonts w:ascii="Times New Roman" w:eastAsia="Times New Roman" w:hAnsi="Times New Roman"/>
          <w:iCs/>
          <w:lang w:val="nl-NL"/>
        </w:rPr>
        <w:t>ác cụm từ “Hàng năm”, cụm từ “để thực hiện cho năm tiếp theo liền kề”, cụm từ “</w:t>
      </w:r>
      <w:r w:rsidR="00075396" w:rsidRPr="00075396">
        <w:rPr>
          <w:rFonts w:ascii="Times New Roman" w:hAnsi="Times New Roman"/>
          <w:lang w:val="de-DE"/>
        </w:rPr>
        <w:t>phải căn cứ hướng dẫn của các Bộ quản lý nhà nước chuyên ngành, Bộ Tài chính và</w:t>
      </w:r>
      <w:r w:rsidR="00075396" w:rsidRPr="00075396">
        <w:rPr>
          <w:rFonts w:ascii="Times New Roman" w:hAnsi="Times New Roman"/>
        </w:rPr>
        <w:t>”</w:t>
      </w:r>
      <w:r w:rsidR="00075396" w:rsidRPr="00075396">
        <w:rPr>
          <w:rFonts w:ascii="Times New Roman" w:hAnsi="Times New Roman"/>
          <w:lang w:val="de-DE"/>
        </w:rPr>
        <w:t>, và cụm từ “</w:t>
      </w:r>
      <w:r w:rsidR="00075396" w:rsidRPr="00075396">
        <w:rPr>
          <w:rFonts w:ascii="Times New Roman" w:hAnsi="Times New Roman"/>
        </w:rPr>
        <w:t>nhưng không bao gồm chi phí khai thác, sàng, tuyển, làm giàu hàm lượng”</w:t>
      </w:r>
      <w:r w:rsidR="00075396">
        <w:rPr>
          <w:rFonts w:ascii="Times New Roman" w:hAnsi="Times New Roman"/>
        </w:rPr>
        <w:t xml:space="preserve"> được bãi bỏ </w:t>
      </w:r>
      <w:r w:rsidR="00502443">
        <w:rPr>
          <w:rFonts w:ascii="Times New Roman" w:hAnsi="Times New Roman"/>
        </w:rPr>
        <w:t>theo quy định</w:t>
      </w:r>
      <w:r w:rsidRPr="00222E72">
        <w:rPr>
          <w:rFonts w:ascii="Times New Roman" w:hAnsi="Times New Roman"/>
        </w:rPr>
        <w:t xml:space="preserve"> tại </w:t>
      </w:r>
      <w:r w:rsidR="00075396">
        <w:rPr>
          <w:rFonts w:ascii="Times New Roman" w:hAnsi="Times New Roman"/>
        </w:rPr>
        <w:t xml:space="preserve">điểm c </w:t>
      </w:r>
      <w:r w:rsidRPr="00222E72">
        <w:rPr>
          <w:rFonts w:ascii="Times New Roman" w:hAnsi="Times New Roman"/>
        </w:rPr>
        <w:t xml:space="preserve">khoản </w:t>
      </w:r>
      <w:r w:rsidR="00075396">
        <w:rPr>
          <w:rFonts w:ascii="Times New Roman" w:hAnsi="Times New Roman"/>
        </w:rPr>
        <w:t>1</w:t>
      </w:r>
      <w:r w:rsidRPr="00222E72">
        <w:rPr>
          <w:rFonts w:ascii="Times New Roman" w:hAnsi="Times New Roman"/>
        </w:rPr>
        <w:t xml:space="preserve"> </w:t>
      </w:r>
      <w:r w:rsidRPr="00222E72">
        <w:rPr>
          <w:rFonts w:ascii="Times New Roman" w:hAnsi="Times New Roman"/>
          <w:lang w:val="de-DE"/>
        </w:rPr>
        <w:t xml:space="preserve">Điều </w:t>
      </w:r>
      <w:r w:rsidR="00075396">
        <w:rPr>
          <w:rFonts w:ascii="Times New Roman" w:hAnsi="Times New Roman"/>
          <w:lang w:val="de-DE"/>
        </w:rPr>
        <w:t>2</w:t>
      </w:r>
      <w:r w:rsidRPr="00222E72">
        <w:rPr>
          <w:rFonts w:ascii="Times New Roman" w:hAnsi="Times New Roman"/>
          <w:lang w:val="de-DE"/>
        </w:rPr>
        <w:t xml:space="preserve"> </w:t>
      </w:r>
      <w:r w:rsidR="00524891" w:rsidRPr="00C17892">
        <w:rPr>
          <w:rFonts w:ascii="Times New Roman" w:hAnsi="Times New Roman"/>
        </w:rPr>
        <w:t xml:space="preserve">Thông tư số </w:t>
      </w:r>
      <w:r w:rsidR="00524891">
        <w:rPr>
          <w:rFonts w:ascii="Times New Roman" w:hAnsi="Times New Roman"/>
        </w:rPr>
        <w:t>135</w:t>
      </w:r>
      <w:r w:rsidR="00524891" w:rsidRPr="00C17892">
        <w:rPr>
          <w:rFonts w:ascii="Times New Roman" w:hAnsi="Times New Roman"/>
        </w:rPr>
        <w:t>/2026/TT-</w:t>
      </w:r>
      <w:r w:rsidR="00524891">
        <w:rPr>
          <w:rFonts w:ascii="Times New Roman" w:hAnsi="Times New Roman"/>
        </w:rPr>
        <w:t>BTC</w:t>
      </w:r>
      <w:r w:rsidR="00524891">
        <w:rPr>
          <w:rFonts w:ascii="Times New Roman" w:eastAsia="Times New Roman" w:hAnsi="Times New Roman"/>
          <w:iCs/>
          <w:lang w:val="nl-NL"/>
        </w:rPr>
        <w:t>, có hiệu lực kể từ ngày 09 tháng 9 năm 2026</w:t>
      </w:r>
      <w:r w:rsidR="00502443">
        <w:rPr>
          <w:rFonts w:ascii="Times New Roman" w:eastAsia="Times New Roman" w:hAnsi="Times New Roman"/>
          <w:iCs/>
          <w:lang w:val="nl-NL"/>
        </w:rPr>
        <w:t>.</w:t>
      </w:r>
    </w:p>
  </w:footnote>
  <w:footnote w:id="20">
    <w:p w:rsidR="005C4AC7" w:rsidRPr="005C4AC7" w:rsidRDefault="005C4AC7" w:rsidP="005C4AC7">
      <w:pPr>
        <w:pStyle w:val="FootnoteText"/>
        <w:spacing w:after="0" w:line="240" w:lineRule="auto"/>
        <w:ind w:firstLine="709"/>
        <w:jc w:val="both"/>
        <w:rPr>
          <w:rFonts w:ascii="Times New Roman" w:hAnsi="Times New Roman"/>
        </w:rPr>
      </w:pPr>
      <w:r w:rsidRPr="005C4AC7">
        <w:rPr>
          <w:rStyle w:val="FootnoteReference"/>
          <w:rFonts w:ascii="Times New Roman" w:hAnsi="Times New Roman"/>
        </w:rPr>
        <w:footnoteRef/>
      </w:r>
      <w:r w:rsidRPr="005C4AC7">
        <w:rPr>
          <w:rFonts w:ascii="Times New Roman" w:hAnsi="Times New Roman"/>
        </w:rPr>
        <w:t xml:space="preserve"> Cụm từ “tài nguyên và môi trường” được thay thế bởi cụm từ “nông nghiệp và môi trường” theo quy định tại điể</w:t>
      </w:r>
      <w:r w:rsidR="00E32947">
        <w:rPr>
          <w:rFonts w:ascii="Times New Roman" w:hAnsi="Times New Roman"/>
        </w:rPr>
        <w:t>m d</w:t>
      </w:r>
      <w:r w:rsidRPr="005C4AC7">
        <w:rPr>
          <w:rFonts w:ascii="Times New Roman" w:hAnsi="Times New Roman"/>
        </w:rPr>
        <w:t xml:space="preserve"> khoản 1 Điều 2 </w:t>
      </w:r>
      <w:r w:rsidR="00253D3D" w:rsidRPr="00C17892">
        <w:rPr>
          <w:rFonts w:ascii="Times New Roman" w:hAnsi="Times New Roman"/>
        </w:rPr>
        <w:t xml:space="preserve">Thông tư số </w:t>
      </w:r>
      <w:r w:rsidR="00253D3D">
        <w:rPr>
          <w:rFonts w:ascii="Times New Roman" w:hAnsi="Times New Roman"/>
        </w:rPr>
        <w:t>135</w:t>
      </w:r>
      <w:r w:rsidR="00253D3D" w:rsidRPr="00C17892">
        <w:rPr>
          <w:rFonts w:ascii="Times New Roman" w:hAnsi="Times New Roman"/>
        </w:rPr>
        <w:t>/2026/TT-</w:t>
      </w:r>
      <w:r w:rsidR="00253D3D">
        <w:rPr>
          <w:rFonts w:ascii="Times New Roman" w:hAnsi="Times New Roman"/>
        </w:rPr>
        <w:t>BTC</w:t>
      </w:r>
      <w:r w:rsidR="00253D3D">
        <w:rPr>
          <w:rFonts w:ascii="Times New Roman" w:eastAsia="Times New Roman" w:hAnsi="Times New Roman"/>
          <w:iCs/>
          <w:lang w:val="nl-NL"/>
        </w:rPr>
        <w:t>, có hiệu lực kể từ ngày 09 tháng 9 năm 2026</w:t>
      </w:r>
      <w:r w:rsidRPr="005C4AC7">
        <w:rPr>
          <w:rFonts w:ascii="Times New Roman" w:eastAsia="Times New Roman" w:hAnsi="Times New Roman"/>
          <w:iCs/>
          <w:lang w:val="nl-NL"/>
        </w:rPr>
        <w:t>.</w:t>
      </w:r>
    </w:p>
  </w:footnote>
  <w:footnote w:id="21">
    <w:p w:rsidR="00214BFD" w:rsidRPr="006B2218" w:rsidRDefault="00214BFD" w:rsidP="005C4AC7">
      <w:pPr>
        <w:pStyle w:val="FootnoteText"/>
        <w:spacing w:after="0" w:line="240" w:lineRule="auto"/>
        <w:ind w:firstLine="709"/>
        <w:jc w:val="both"/>
        <w:rPr>
          <w:rFonts w:ascii="Times New Roman" w:hAnsi="Times New Roman"/>
        </w:rPr>
      </w:pPr>
      <w:r w:rsidRPr="006B2218">
        <w:rPr>
          <w:rStyle w:val="FootnoteReference"/>
          <w:rFonts w:ascii="Times New Roman" w:hAnsi="Times New Roman"/>
        </w:rPr>
        <w:footnoteRef/>
      </w:r>
      <w:r w:rsidRPr="006B2218">
        <w:rPr>
          <w:rFonts w:ascii="Times New Roman" w:hAnsi="Times New Roman"/>
        </w:rPr>
        <w:t xml:space="preserve"> </w:t>
      </w:r>
      <w:r w:rsidR="000D0D25" w:rsidRPr="006B2218">
        <w:rPr>
          <w:rFonts w:ascii="Times New Roman" w:hAnsi="Times New Roman"/>
        </w:rPr>
        <w:t>Khoản này được bãi bỏ theo quy định tại khoản 1 Điều 2 Thông tư số 41/2024/TT-BTC, có hiệu lực kể từ ngày 15 tháng 7 năm 2024.</w:t>
      </w:r>
    </w:p>
  </w:footnote>
  <w:footnote w:id="22">
    <w:p w:rsidR="00075396" w:rsidRPr="006B2218" w:rsidRDefault="00075396" w:rsidP="005C4AC7">
      <w:pPr>
        <w:pStyle w:val="FootnoteText"/>
        <w:spacing w:after="0" w:line="240" w:lineRule="auto"/>
        <w:ind w:firstLine="709"/>
        <w:jc w:val="both"/>
        <w:rPr>
          <w:rFonts w:ascii="Times New Roman" w:hAnsi="Times New Roman"/>
        </w:rPr>
      </w:pPr>
      <w:r w:rsidRPr="006B2218">
        <w:rPr>
          <w:rStyle w:val="FootnoteReference"/>
          <w:rFonts w:ascii="Times New Roman" w:hAnsi="Times New Roman"/>
        </w:rPr>
        <w:footnoteRef/>
      </w:r>
      <w:r w:rsidRPr="006B2218">
        <w:rPr>
          <w:rFonts w:ascii="Times New Roman" w:hAnsi="Times New Roman"/>
        </w:rPr>
        <w:t xml:space="preserve"> Khoản này được sửa đổi, bổ sung theo quy định tại khoản 1 Điều 1 </w:t>
      </w:r>
      <w:r w:rsidR="00253D3D" w:rsidRPr="00C17892">
        <w:rPr>
          <w:rFonts w:ascii="Times New Roman" w:hAnsi="Times New Roman"/>
        </w:rPr>
        <w:t xml:space="preserve">Thông tư số </w:t>
      </w:r>
      <w:r w:rsidR="00253D3D">
        <w:rPr>
          <w:rFonts w:ascii="Times New Roman" w:hAnsi="Times New Roman"/>
        </w:rPr>
        <w:t>135</w:t>
      </w:r>
      <w:r w:rsidR="00253D3D" w:rsidRPr="00C17892">
        <w:rPr>
          <w:rFonts w:ascii="Times New Roman" w:hAnsi="Times New Roman"/>
        </w:rPr>
        <w:t>/2026/TT-</w:t>
      </w:r>
      <w:r w:rsidR="00253D3D">
        <w:rPr>
          <w:rFonts w:ascii="Times New Roman" w:hAnsi="Times New Roman"/>
        </w:rPr>
        <w:t>BTC</w:t>
      </w:r>
      <w:r w:rsidR="00253D3D">
        <w:rPr>
          <w:rFonts w:ascii="Times New Roman" w:eastAsia="Times New Roman" w:hAnsi="Times New Roman"/>
          <w:iCs/>
          <w:lang w:val="nl-NL"/>
        </w:rPr>
        <w:t>, có hiệu lực kể từ ngày 09 tháng 9 năm 2026</w:t>
      </w:r>
      <w:r w:rsidRPr="006B2218">
        <w:rPr>
          <w:rFonts w:ascii="Times New Roman" w:hAnsi="Times New Roman"/>
        </w:rPr>
        <w:t>.</w:t>
      </w:r>
    </w:p>
  </w:footnote>
  <w:footnote w:id="23">
    <w:p w:rsidR="00075396" w:rsidRPr="00075396" w:rsidRDefault="00075396" w:rsidP="005C4AC7">
      <w:pPr>
        <w:pStyle w:val="FootnoteText"/>
        <w:spacing w:after="0" w:line="240" w:lineRule="auto"/>
        <w:ind w:firstLine="709"/>
        <w:jc w:val="both"/>
        <w:rPr>
          <w:rFonts w:ascii="Times New Roman" w:hAnsi="Times New Roman"/>
        </w:rPr>
      </w:pPr>
      <w:r w:rsidRPr="006B2218">
        <w:rPr>
          <w:rStyle w:val="FootnoteReference"/>
          <w:rFonts w:ascii="Times New Roman" w:hAnsi="Times New Roman"/>
        </w:rPr>
        <w:footnoteRef/>
      </w:r>
      <w:r w:rsidRPr="006B2218">
        <w:rPr>
          <w:rFonts w:ascii="Times New Roman" w:hAnsi="Times New Roman"/>
        </w:rPr>
        <w:t xml:space="preserve"> Khoản này được sửa đổi, bổ sung theo quy định tại khoản 2 Điều 1 </w:t>
      </w:r>
      <w:r w:rsidR="00C636A9" w:rsidRPr="00C17892">
        <w:rPr>
          <w:rFonts w:ascii="Times New Roman" w:hAnsi="Times New Roman"/>
        </w:rPr>
        <w:t xml:space="preserve">Thông tư số </w:t>
      </w:r>
      <w:r w:rsidR="00C636A9">
        <w:rPr>
          <w:rFonts w:ascii="Times New Roman" w:hAnsi="Times New Roman"/>
        </w:rPr>
        <w:t>135</w:t>
      </w:r>
      <w:r w:rsidR="00C636A9" w:rsidRPr="00C17892">
        <w:rPr>
          <w:rFonts w:ascii="Times New Roman" w:hAnsi="Times New Roman"/>
        </w:rPr>
        <w:t>/2026/TT-</w:t>
      </w:r>
      <w:r w:rsidR="00C636A9">
        <w:rPr>
          <w:rFonts w:ascii="Times New Roman" w:hAnsi="Times New Roman"/>
        </w:rPr>
        <w:t>BTC</w:t>
      </w:r>
      <w:r w:rsidR="00C636A9">
        <w:rPr>
          <w:rFonts w:ascii="Times New Roman" w:eastAsia="Times New Roman" w:hAnsi="Times New Roman"/>
          <w:iCs/>
          <w:lang w:val="nl-NL"/>
        </w:rPr>
        <w:t>, có hiệu lực kể từ ngày 09 tháng 9 năm 2026</w:t>
      </w:r>
      <w:r w:rsidRPr="006B2218">
        <w:rPr>
          <w:rFonts w:ascii="Times New Roman" w:hAnsi="Times New Roman"/>
        </w:rPr>
        <w:t>.</w:t>
      </w:r>
    </w:p>
  </w:footnote>
  <w:footnote w:id="24">
    <w:p w:rsidR="00214BFD" w:rsidRPr="008022BC" w:rsidRDefault="00214BFD" w:rsidP="005C4AC7">
      <w:pPr>
        <w:pStyle w:val="FootnoteText"/>
        <w:spacing w:after="0" w:line="240" w:lineRule="auto"/>
        <w:ind w:firstLine="709"/>
        <w:jc w:val="both"/>
        <w:rPr>
          <w:rFonts w:ascii="Times New Roman" w:hAnsi="Times New Roman"/>
        </w:rPr>
      </w:pPr>
      <w:r w:rsidRPr="00075396">
        <w:rPr>
          <w:rStyle w:val="FootnoteReference"/>
          <w:rFonts w:ascii="Times New Roman" w:hAnsi="Times New Roman"/>
        </w:rPr>
        <w:footnoteRef/>
      </w:r>
      <w:r w:rsidRPr="00075396">
        <w:rPr>
          <w:rFonts w:ascii="Times New Roman" w:hAnsi="Times New Roman"/>
        </w:rPr>
        <w:t xml:space="preserve"> </w:t>
      </w:r>
      <w:r w:rsidRPr="00075396">
        <w:rPr>
          <w:rFonts w:ascii="Times New Roman" w:hAnsi="Times New Roman"/>
          <w:color w:val="000000"/>
          <w:shd w:val="clear" w:color="auto" w:fill="FFFFFF"/>
        </w:rPr>
        <w:t>Khoản này được sửa đổi theo quy định tại Điều 1 Thông tư số 12/2016/TT-BTC có hiệu lực kể từ ngày 01 tháng 7 năm 2016.</w:t>
      </w:r>
    </w:p>
  </w:footnote>
  <w:footnote w:id="25">
    <w:p w:rsidR="00181324" w:rsidRPr="00181324" w:rsidRDefault="00181324" w:rsidP="005C4AC7">
      <w:pPr>
        <w:pStyle w:val="FootnoteText"/>
        <w:spacing w:after="0" w:line="240" w:lineRule="auto"/>
        <w:ind w:firstLine="709"/>
        <w:rPr>
          <w:rFonts w:ascii="Times New Roman" w:hAnsi="Times New Roman"/>
        </w:rPr>
      </w:pPr>
      <w:r w:rsidRPr="00181324">
        <w:rPr>
          <w:rStyle w:val="FootnoteReference"/>
          <w:rFonts w:ascii="Times New Roman" w:hAnsi="Times New Roman"/>
        </w:rPr>
        <w:footnoteRef/>
      </w:r>
      <w:r w:rsidRPr="00181324">
        <w:rPr>
          <w:rFonts w:ascii="Times New Roman" w:hAnsi="Times New Roman"/>
        </w:rPr>
        <w:t xml:space="preserve"> Điểm này</w:t>
      </w:r>
      <w:r>
        <w:rPr>
          <w:rFonts w:ascii="Times New Roman" w:hAnsi="Times New Roman"/>
        </w:rPr>
        <w:t xml:space="preserve"> được sửa đổi, bổ sung theo quy định tại khoản 3 Điều 1 </w:t>
      </w:r>
      <w:r w:rsidR="00C636A9" w:rsidRPr="00C17892">
        <w:rPr>
          <w:rFonts w:ascii="Times New Roman" w:hAnsi="Times New Roman"/>
        </w:rPr>
        <w:t xml:space="preserve">Thông tư số </w:t>
      </w:r>
      <w:r w:rsidR="00C636A9">
        <w:rPr>
          <w:rFonts w:ascii="Times New Roman" w:hAnsi="Times New Roman"/>
        </w:rPr>
        <w:t>135</w:t>
      </w:r>
      <w:r w:rsidR="00C636A9" w:rsidRPr="00C17892">
        <w:rPr>
          <w:rFonts w:ascii="Times New Roman" w:hAnsi="Times New Roman"/>
        </w:rPr>
        <w:t>/2026/TT-</w:t>
      </w:r>
      <w:r w:rsidR="00C636A9">
        <w:rPr>
          <w:rFonts w:ascii="Times New Roman" w:hAnsi="Times New Roman"/>
        </w:rPr>
        <w:t>BTC</w:t>
      </w:r>
      <w:r w:rsidR="00C636A9">
        <w:rPr>
          <w:rFonts w:ascii="Times New Roman" w:eastAsia="Times New Roman" w:hAnsi="Times New Roman"/>
          <w:iCs/>
          <w:lang w:val="nl-NL"/>
        </w:rPr>
        <w:t>, có hiệu lực kể từ ngày 09 tháng 9 năm 2026</w:t>
      </w:r>
      <w:r>
        <w:rPr>
          <w:rFonts w:ascii="Times New Roman" w:eastAsia="Times New Roman" w:hAnsi="Times New Roman"/>
          <w:iCs/>
          <w:lang w:val="nl-NL"/>
        </w:rPr>
        <w:t>.</w:t>
      </w:r>
    </w:p>
  </w:footnote>
  <w:footnote w:id="26">
    <w:p w:rsidR="00214BFD" w:rsidRPr="00A11A7B" w:rsidRDefault="00214BFD" w:rsidP="00FE4A65">
      <w:pPr>
        <w:pStyle w:val="NormalWeb"/>
        <w:shd w:val="clear" w:color="auto" w:fill="FFFFFF"/>
        <w:spacing w:before="0" w:after="0" w:line="240" w:lineRule="auto"/>
        <w:ind w:firstLine="709"/>
        <w:jc w:val="both"/>
        <w:rPr>
          <w:rFonts w:ascii="Times New Roman" w:hAnsi="Times New Roman"/>
          <w:color w:val="000000"/>
          <w:sz w:val="20"/>
          <w:szCs w:val="20"/>
        </w:rPr>
      </w:pPr>
      <w:r w:rsidRPr="00A11A7B">
        <w:rPr>
          <w:rStyle w:val="FootnoteReference"/>
          <w:rFonts w:ascii="Times New Roman" w:hAnsi="Times New Roman"/>
          <w:sz w:val="20"/>
          <w:szCs w:val="20"/>
        </w:rPr>
        <w:footnoteRef/>
      </w:r>
      <w:r w:rsidRPr="00A11A7B">
        <w:rPr>
          <w:rFonts w:ascii="Times New Roman" w:hAnsi="Times New Roman"/>
          <w:color w:val="000000"/>
          <w:sz w:val="20"/>
          <w:szCs w:val="20"/>
        </w:rPr>
        <w:t>- Điều 2 Thông tư số 12/2016/TT-BTC, có hiệu lực kể từ ngày 01 tháng 7 năm 2016 quy định như sau:</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“Điều 2. Hiệu lực thi hành</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Thông tư này có hiệu lực thi hành kể từ ngày 01/7/2016.</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Trong quá trình thực hiện, nếu có khó khăn vướng mắc đề nghị các tổ chức, cá nhân phản ánh kịp thời về Bộ Tài chính để được nghiên cứu, giải quyết./.”</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color w:val="000000"/>
          <w:sz w:val="20"/>
          <w:szCs w:val="20"/>
        </w:rPr>
        <w:t>- Điều 2 Thông tư 174/2016/TT-BTC, có hiệu lực kể từ ngày 12/12/2016 quy định về điều khoản thi hành như sau:</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“Thông tư này có hiệu lực thi hành từ ngày 12 tháng 12 năm 2016.</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Trong quá trình thực hiện, nếu có khó khăn vướng mắc đề nghị các tổ chức, cá nhân phản ánh kịp thời về Bộ Tài chính để được nghiên cứu giải quyết kịp thời./.”</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color w:val="000000"/>
          <w:sz w:val="20"/>
          <w:szCs w:val="20"/>
        </w:rPr>
        <w:t>- Điều 3 Thông tư số 41/2024/TT-BTC, có hiệu lực kể từ ngày 15 tháng 7 năm 2024 quy định về điều khoản thi hành như sau:</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“Điều 3. Điều khoản thi hành</w:t>
      </w:r>
    </w:p>
    <w:p w:rsidR="00214BFD" w:rsidRPr="00A11A7B" w:rsidRDefault="00214BFD" w:rsidP="00FE4A65">
      <w:pPr>
        <w:shd w:val="clear" w:color="auto" w:fill="FFFFFF"/>
        <w:spacing w:after="0" w:line="240" w:lineRule="auto"/>
        <w:ind w:firstLine="709"/>
        <w:jc w:val="both"/>
        <w:rPr>
          <w:rFonts w:ascii="Times New Roman" w:eastAsia="Times New Roman" w:hAnsi="Times New Roman"/>
          <w:color w:val="000000"/>
          <w:sz w:val="20"/>
          <w:szCs w:val="20"/>
        </w:rPr>
      </w:pPr>
      <w:r w:rsidRPr="00A11A7B">
        <w:rPr>
          <w:rFonts w:ascii="Times New Roman" w:eastAsia="Times New Roman" w:hAnsi="Times New Roman"/>
          <w:i/>
          <w:iCs/>
          <w:color w:val="000000"/>
          <w:sz w:val="20"/>
          <w:szCs w:val="20"/>
        </w:rPr>
        <w:t>1. Thông tư này có hiệu lực kể từ ngày 15 tháng 7 năm 2024.</w:t>
      </w:r>
    </w:p>
    <w:p w:rsidR="00214BFD" w:rsidRDefault="00214BFD" w:rsidP="00FE4A65">
      <w:pPr>
        <w:shd w:val="clear" w:color="auto" w:fill="FFFFFF"/>
        <w:spacing w:after="0" w:line="240" w:lineRule="auto"/>
        <w:ind w:firstLine="709"/>
        <w:jc w:val="both"/>
        <w:rPr>
          <w:rFonts w:ascii="Times New Roman" w:eastAsia="Times New Roman" w:hAnsi="Times New Roman"/>
          <w:i/>
          <w:iCs/>
          <w:color w:val="000000"/>
          <w:sz w:val="20"/>
          <w:szCs w:val="20"/>
        </w:rPr>
      </w:pPr>
      <w:r w:rsidRPr="00A11A7B">
        <w:rPr>
          <w:rFonts w:ascii="Times New Roman" w:eastAsia="Times New Roman" w:hAnsi="Times New Roman"/>
          <w:i/>
          <w:iCs/>
          <w:color w:val="000000"/>
          <w:sz w:val="20"/>
          <w:szCs w:val="20"/>
        </w:rPr>
        <w:t>2. Trong quá trình thực hiện, nếu có vướng mắc, đề nghị Ủy ban nhân dân cấp tỉnh, tổ chức, cá nhân phản ánh về Bộ Tài chính để được nghiên cứu giải quyết./.”</w:t>
      </w:r>
    </w:p>
    <w:p w:rsidR="006D5FB0" w:rsidRDefault="006D5FB0" w:rsidP="00FE4A65">
      <w:pPr>
        <w:shd w:val="clear" w:color="auto" w:fill="FFFFFF"/>
        <w:spacing w:after="0" w:line="240" w:lineRule="auto"/>
        <w:ind w:firstLine="709"/>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Pr="00A11A7B">
        <w:rPr>
          <w:rFonts w:ascii="Times New Roman" w:eastAsia="Times New Roman" w:hAnsi="Times New Roman"/>
          <w:color w:val="000000"/>
          <w:sz w:val="20"/>
          <w:szCs w:val="20"/>
        </w:rPr>
        <w:t xml:space="preserve">Điều 3 Thông tư số </w:t>
      </w:r>
      <w:r w:rsidR="002A3CB5">
        <w:rPr>
          <w:rFonts w:ascii="Times New Roman" w:eastAsia="Times New Roman" w:hAnsi="Times New Roman"/>
          <w:color w:val="000000"/>
          <w:sz w:val="20"/>
          <w:szCs w:val="20"/>
        </w:rPr>
        <w:t>135</w:t>
      </w:r>
      <w:r w:rsidRPr="00A11A7B">
        <w:rPr>
          <w:rFonts w:ascii="Times New Roman" w:eastAsia="Times New Roman" w:hAnsi="Times New Roman"/>
          <w:color w:val="000000"/>
          <w:sz w:val="20"/>
          <w:szCs w:val="20"/>
        </w:rPr>
        <w:t>/202</w:t>
      </w:r>
      <w:r>
        <w:rPr>
          <w:rFonts w:ascii="Times New Roman" w:eastAsia="Times New Roman" w:hAnsi="Times New Roman"/>
          <w:color w:val="000000"/>
          <w:sz w:val="20"/>
          <w:szCs w:val="20"/>
        </w:rPr>
        <w:t>6</w:t>
      </w:r>
      <w:r w:rsidRPr="00A11A7B">
        <w:rPr>
          <w:rFonts w:ascii="Times New Roman" w:eastAsia="Times New Roman" w:hAnsi="Times New Roman"/>
          <w:color w:val="000000"/>
          <w:sz w:val="20"/>
          <w:szCs w:val="20"/>
        </w:rPr>
        <w:t xml:space="preserve">/TT-BTC, có hiệu lực kể từ ngày </w:t>
      </w:r>
      <w:r w:rsidR="002A3CB5">
        <w:rPr>
          <w:rFonts w:ascii="Times New Roman" w:eastAsia="Times New Roman" w:hAnsi="Times New Roman"/>
          <w:color w:val="000000"/>
          <w:sz w:val="20"/>
          <w:szCs w:val="20"/>
        </w:rPr>
        <w:t xml:space="preserve">09 </w:t>
      </w:r>
      <w:r w:rsidRPr="00A11A7B">
        <w:rPr>
          <w:rFonts w:ascii="Times New Roman" w:eastAsia="Times New Roman" w:hAnsi="Times New Roman"/>
          <w:color w:val="000000"/>
          <w:sz w:val="20"/>
          <w:szCs w:val="20"/>
        </w:rPr>
        <w:t xml:space="preserve"> tháng </w:t>
      </w:r>
      <w:r w:rsidR="002A3CB5">
        <w:rPr>
          <w:rFonts w:ascii="Times New Roman" w:eastAsia="Times New Roman" w:hAnsi="Times New Roman"/>
          <w:color w:val="000000"/>
          <w:sz w:val="20"/>
          <w:szCs w:val="20"/>
        </w:rPr>
        <w:t>9</w:t>
      </w:r>
      <w:r>
        <w:rPr>
          <w:rFonts w:ascii="Times New Roman" w:eastAsia="Times New Roman" w:hAnsi="Times New Roman"/>
          <w:color w:val="000000"/>
          <w:sz w:val="20"/>
          <w:szCs w:val="20"/>
        </w:rPr>
        <w:t xml:space="preserve"> </w:t>
      </w:r>
      <w:r w:rsidRPr="00A11A7B">
        <w:rPr>
          <w:rFonts w:ascii="Times New Roman" w:eastAsia="Times New Roman" w:hAnsi="Times New Roman"/>
          <w:color w:val="000000"/>
          <w:sz w:val="20"/>
          <w:szCs w:val="20"/>
        </w:rPr>
        <w:t xml:space="preserve"> năm 202</w:t>
      </w:r>
      <w:r>
        <w:rPr>
          <w:rFonts w:ascii="Times New Roman" w:eastAsia="Times New Roman" w:hAnsi="Times New Roman"/>
          <w:color w:val="000000"/>
          <w:sz w:val="20"/>
          <w:szCs w:val="20"/>
        </w:rPr>
        <w:t>6</w:t>
      </w:r>
      <w:r w:rsidRPr="00A11A7B">
        <w:rPr>
          <w:rFonts w:ascii="Times New Roman" w:eastAsia="Times New Roman" w:hAnsi="Times New Roman"/>
          <w:color w:val="000000"/>
          <w:sz w:val="20"/>
          <w:szCs w:val="20"/>
        </w:rPr>
        <w:t xml:space="preserve"> quy định về điều khoản thi hành như sau:</w:t>
      </w:r>
    </w:p>
    <w:p w:rsidR="006D5FB0" w:rsidRPr="00811BEB" w:rsidRDefault="00811BEB" w:rsidP="006D5FB0">
      <w:pPr>
        <w:widowControl w:val="0"/>
        <w:spacing w:after="0" w:line="240" w:lineRule="auto"/>
        <w:ind w:firstLine="720"/>
        <w:jc w:val="both"/>
        <w:rPr>
          <w:rFonts w:ascii="Times New Roman" w:hAnsi="Times New Roman"/>
          <w:i/>
          <w:sz w:val="20"/>
          <w:szCs w:val="20"/>
        </w:rPr>
      </w:pPr>
      <w:r>
        <w:rPr>
          <w:rFonts w:ascii="Times New Roman" w:hAnsi="Times New Roman"/>
          <w:i/>
          <w:sz w:val="20"/>
          <w:szCs w:val="20"/>
        </w:rPr>
        <w:t>“</w:t>
      </w:r>
      <w:r w:rsidR="006D5FB0" w:rsidRPr="00811BEB">
        <w:rPr>
          <w:rFonts w:ascii="Times New Roman" w:hAnsi="Times New Roman"/>
          <w:i/>
          <w:sz w:val="20"/>
          <w:szCs w:val="20"/>
        </w:rPr>
        <w:t xml:space="preserve">1. </w:t>
      </w:r>
      <w:r w:rsidR="00181324" w:rsidRPr="00181324">
        <w:rPr>
          <w:rFonts w:ascii="Times New Roman" w:hAnsi="Times New Roman"/>
          <w:i/>
          <w:sz w:val="20"/>
          <w:szCs w:val="20"/>
        </w:rPr>
        <w:t xml:space="preserve">Thông tư có hiệu lực từ ngày </w:t>
      </w:r>
      <w:r w:rsidR="002A3CB5">
        <w:rPr>
          <w:rFonts w:ascii="Times New Roman" w:hAnsi="Times New Roman"/>
          <w:i/>
          <w:sz w:val="20"/>
          <w:szCs w:val="20"/>
        </w:rPr>
        <w:t>09</w:t>
      </w:r>
      <w:r w:rsidR="00BD31F6">
        <w:rPr>
          <w:rFonts w:ascii="Times New Roman" w:hAnsi="Times New Roman"/>
          <w:i/>
          <w:sz w:val="20"/>
          <w:szCs w:val="20"/>
        </w:rPr>
        <w:t xml:space="preserve"> </w:t>
      </w:r>
      <w:r w:rsidR="00181324" w:rsidRPr="00181324">
        <w:rPr>
          <w:rFonts w:ascii="Times New Roman" w:hAnsi="Times New Roman"/>
          <w:i/>
          <w:sz w:val="20"/>
          <w:szCs w:val="20"/>
        </w:rPr>
        <w:t xml:space="preserve"> tháng </w:t>
      </w:r>
      <w:r w:rsidR="002A3CB5">
        <w:rPr>
          <w:rFonts w:ascii="Times New Roman" w:hAnsi="Times New Roman"/>
          <w:i/>
          <w:sz w:val="20"/>
          <w:szCs w:val="20"/>
        </w:rPr>
        <w:t>9</w:t>
      </w:r>
      <w:r w:rsidR="00BD31F6">
        <w:rPr>
          <w:rFonts w:ascii="Times New Roman" w:hAnsi="Times New Roman"/>
          <w:i/>
          <w:sz w:val="20"/>
          <w:szCs w:val="20"/>
        </w:rPr>
        <w:t xml:space="preserve"> </w:t>
      </w:r>
      <w:r w:rsidR="00181324" w:rsidRPr="00181324">
        <w:rPr>
          <w:rFonts w:ascii="Times New Roman" w:hAnsi="Times New Roman"/>
          <w:i/>
          <w:sz w:val="20"/>
          <w:szCs w:val="20"/>
        </w:rPr>
        <w:t>năm 2026 và áp dụng từ kỳ tính thuế tài nguyên năm 2026</w:t>
      </w:r>
      <w:r w:rsidR="006D5FB0" w:rsidRPr="00181324">
        <w:rPr>
          <w:rFonts w:ascii="Times New Roman" w:hAnsi="Times New Roman"/>
          <w:i/>
          <w:sz w:val="20"/>
          <w:szCs w:val="20"/>
        </w:rPr>
        <w:t>.</w:t>
      </w:r>
    </w:p>
    <w:p w:rsidR="006D5FB0" w:rsidRPr="00A11A7B" w:rsidRDefault="006D5FB0" w:rsidP="006D5FB0">
      <w:pPr>
        <w:shd w:val="clear" w:color="auto" w:fill="FFFFFF"/>
        <w:spacing w:after="0" w:line="240" w:lineRule="auto"/>
        <w:ind w:firstLine="709"/>
        <w:jc w:val="both"/>
        <w:rPr>
          <w:rFonts w:ascii="Times New Roman" w:hAnsi="Times New Roman"/>
        </w:rPr>
      </w:pPr>
      <w:r w:rsidRPr="00811BEB">
        <w:rPr>
          <w:rFonts w:ascii="Times New Roman" w:hAnsi="Times New Roman"/>
          <w:i/>
          <w:color w:val="000000"/>
          <w:sz w:val="20"/>
          <w:szCs w:val="20"/>
        </w:rPr>
        <w:t xml:space="preserve">2. </w:t>
      </w:r>
      <w:r w:rsidRPr="00811BEB">
        <w:rPr>
          <w:rFonts w:ascii="Times New Roman" w:eastAsia="Times New Roman" w:hAnsi="Times New Roman"/>
          <w:i/>
          <w:sz w:val="20"/>
          <w:szCs w:val="20"/>
          <w:lang w:val="nl-NL"/>
        </w:rPr>
        <w:t>Trong quá trình thực hiện, trường hợp phát sinh vướng mắc, đề nghị các cơ quan, tổ chức, đơn vị phản ánh kịp thời về Bộ Tài chính để nghiên cứu, hướng dẫn./.</w:t>
      </w:r>
      <w:r w:rsidR="00811BEB">
        <w:rPr>
          <w:rFonts w:ascii="Times New Roman" w:eastAsia="Times New Roman" w:hAnsi="Times New Roman"/>
          <w:i/>
          <w:sz w:val="20"/>
          <w:szCs w:val="20"/>
          <w:lang w:val="nl-NL"/>
        </w:rPr>
        <w:t>”</w:t>
      </w:r>
    </w:p>
  </w:footnote>
  <w:footnote w:id="27">
    <w:p w:rsidR="00214BFD" w:rsidRPr="00A11A7B" w:rsidRDefault="00214BFD" w:rsidP="00F2582F">
      <w:pPr>
        <w:pStyle w:val="FootnoteText"/>
        <w:spacing w:after="0" w:line="240" w:lineRule="auto"/>
        <w:ind w:firstLine="709"/>
        <w:jc w:val="both"/>
        <w:rPr>
          <w:rFonts w:ascii="Times New Roman" w:hAnsi="Times New Roman"/>
        </w:rPr>
      </w:pPr>
      <w:r w:rsidRPr="00A11A7B">
        <w:rPr>
          <w:rStyle w:val="FootnoteReference"/>
          <w:rFonts w:ascii="Times New Roman" w:hAnsi="Times New Roman"/>
        </w:rPr>
        <w:footnoteRef/>
      </w:r>
      <w:r w:rsidRPr="00A11A7B">
        <w:rPr>
          <w:rFonts w:ascii="Times New Roman" w:hAnsi="Times New Roman"/>
        </w:rPr>
        <w:t xml:space="preserve"> Khoản này được sửa đổi, bổ sung </w:t>
      </w:r>
      <w:r w:rsidRPr="00A11A7B">
        <w:rPr>
          <w:rFonts w:ascii="Times New Roman" w:hAnsi="Times New Roman"/>
          <w:color w:val="000000"/>
          <w:shd w:val="clear" w:color="auto" w:fill="FFFFFF"/>
        </w:rPr>
        <w:t xml:space="preserve">theo quy định tại </w:t>
      </w:r>
      <w:r w:rsidR="006D5FB0">
        <w:rPr>
          <w:rFonts w:ascii="Times New Roman" w:hAnsi="Times New Roman"/>
          <w:color w:val="000000"/>
          <w:shd w:val="clear" w:color="auto" w:fill="FFFFFF"/>
        </w:rPr>
        <w:t>khoả</w:t>
      </w:r>
      <w:r w:rsidR="00181324">
        <w:rPr>
          <w:rFonts w:ascii="Times New Roman" w:hAnsi="Times New Roman"/>
          <w:color w:val="000000"/>
          <w:shd w:val="clear" w:color="auto" w:fill="FFFFFF"/>
        </w:rPr>
        <w:t>n 4</w:t>
      </w:r>
      <w:r w:rsidR="006D5FB0">
        <w:rPr>
          <w:rFonts w:ascii="Times New Roman" w:hAnsi="Times New Roman"/>
          <w:color w:val="000000"/>
          <w:shd w:val="clear" w:color="auto" w:fill="FFFFFF"/>
        </w:rPr>
        <w:t xml:space="preserve"> </w:t>
      </w:r>
      <w:r w:rsidRPr="00A11A7B">
        <w:rPr>
          <w:rFonts w:ascii="Times New Roman" w:hAnsi="Times New Roman"/>
          <w:color w:val="000000"/>
          <w:shd w:val="clear" w:color="auto" w:fill="FFFFFF"/>
        </w:rPr>
        <w:t xml:space="preserve">Điều </w:t>
      </w:r>
      <w:r w:rsidR="006D5FB0">
        <w:rPr>
          <w:rFonts w:ascii="Times New Roman" w:hAnsi="Times New Roman"/>
          <w:color w:val="000000"/>
          <w:shd w:val="clear" w:color="auto" w:fill="FFFFFF"/>
        </w:rPr>
        <w:t>1</w:t>
      </w:r>
      <w:r w:rsidRPr="00A11A7B">
        <w:rPr>
          <w:rFonts w:ascii="Times New Roman" w:hAnsi="Times New Roman"/>
          <w:color w:val="000000"/>
          <w:shd w:val="clear" w:color="auto" w:fill="FFFFFF"/>
        </w:rPr>
        <w:t xml:space="preserve"> Thông tư số </w:t>
      </w:r>
      <w:r w:rsidR="002A3CB5">
        <w:rPr>
          <w:rFonts w:ascii="Times New Roman" w:hAnsi="Times New Roman"/>
          <w:color w:val="000000"/>
          <w:shd w:val="clear" w:color="auto" w:fill="FFFFFF"/>
        </w:rPr>
        <w:t>135</w:t>
      </w:r>
      <w:r w:rsidRPr="00A11A7B">
        <w:rPr>
          <w:rFonts w:ascii="Times New Roman" w:hAnsi="Times New Roman"/>
          <w:color w:val="000000"/>
          <w:shd w:val="clear" w:color="auto" w:fill="FFFFFF"/>
        </w:rPr>
        <w:t xml:space="preserve">/2026/TT-BTC, có hiệu lực kể từ ngày  </w:t>
      </w:r>
      <w:r w:rsidR="002A3CB5">
        <w:rPr>
          <w:rFonts w:ascii="Times New Roman" w:hAnsi="Times New Roman"/>
          <w:color w:val="000000"/>
          <w:shd w:val="clear" w:color="auto" w:fill="FFFFFF"/>
        </w:rPr>
        <w:t>09</w:t>
      </w:r>
      <w:r w:rsidRPr="00A11A7B">
        <w:rPr>
          <w:rFonts w:ascii="Times New Roman" w:hAnsi="Times New Roman"/>
          <w:color w:val="000000"/>
          <w:shd w:val="clear" w:color="auto" w:fill="FFFFFF"/>
        </w:rPr>
        <w:t xml:space="preserve">  tháng </w:t>
      </w:r>
      <w:r w:rsidR="002A3CB5">
        <w:rPr>
          <w:rFonts w:ascii="Times New Roman" w:hAnsi="Times New Roman"/>
          <w:color w:val="000000"/>
          <w:shd w:val="clear" w:color="auto" w:fill="FFFFFF"/>
        </w:rPr>
        <w:t>9</w:t>
      </w:r>
      <w:r w:rsidRPr="00A11A7B">
        <w:rPr>
          <w:rFonts w:ascii="Times New Roman" w:hAnsi="Times New Roman"/>
          <w:color w:val="000000"/>
          <w:shd w:val="clear" w:color="auto" w:fill="FFFFFF"/>
        </w:rPr>
        <w:t xml:space="preserve">  năm 2026.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FD" w:rsidRPr="00236F2B" w:rsidRDefault="007F1ADA">
    <w:pPr>
      <w:pStyle w:val="Header"/>
      <w:jc w:val="center"/>
      <w:rPr>
        <w:rFonts w:ascii="Times New Roman" w:hAnsi="Times New Roman"/>
        <w:sz w:val="24"/>
      </w:rPr>
    </w:pPr>
    <w:r w:rsidRPr="00236F2B">
      <w:rPr>
        <w:rFonts w:ascii="Times New Roman" w:hAnsi="Times New Roman"/>
        <w:sz w:val="24"/>
      </w:rPr>
      <w:fldChar w:fldCharType="begin"/>
    </w:r>
    <w:r w:rsidR="00214BFD" w:rsidRPr="00236F2B">
      <w:rPr>
        <w:rFonts w:ascii="Times New Roman" w:hAnsi="Times New Roman"/>
        <w:sz w:val="24"/>
      </w:rPr>
      <w:instrText xml:space="preserve"> PAGE   \* MERGEFORMAT </w:instrText>
    </w:r>
    <w:r w:rsidRPr="00236F2B">
      <w:rPr>
        <w:rFonts w:ascii="Times New Roman" w:hAnsi="Times New Roman"/>
        <w:sz w:val="24"/>
      </w:rPr>
      <w:fldChar w:fldCharType="separate"/>
    </w:r>
    <w:r w:rsidR="00E3540D">
      <w:rPr>
        <w:rFonts w:ascii="Times New Roman" w:hAnsi="Times New Roman"/>
        <w:noProof/>
        <w:sz w:val="24"/>
      </w:rPr>
      <w:t>2</w:t>
    </w:r>
    <w:r w:rsidRPr="00236F2B">
      <w:rPr>
        <w:rFonts w:ascii="Times New Roman" w:hAnsi="Times New Roman"/>
        <w:sz w:val="24"/>
      </w:rPr>
      <w:fldChar w:fldCharType="end"/>
    </w:r>
  </w:p>
  <w:p w:rsidR="00214BFD" w:rsidRDefault="00214B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EE81FE0"/>
    <w:lvl w:ilvl="0">
      <w:start w:val="1"/>
      <w:numFmt w:val="decimal"/>
      <w:lvlText w:val="%1."/>
      <w:lvlJc w:val="left"/>
      <w:pPr>
        <w:tabs>
          <w:tab w:val="num" w:pos="1800"/>
        </w:tabs>
        <w:ind w:left="1800" w:hanging="360"/>
      </w:pPr>
    </w:lvl>
  </w:abstractNum>
  <w:abstractNum w:abstractNumId="1">
    <w:nsid w:val="FFFFFF7D"/>
    <w:multiLevelType w:val="singleLevel"/>
    <w:tmpl w:val="5D8E9B08"/>
    <w:lvl w:ilvl="0">
      <w:start w:val="1"/>
      <w:numFmt w:val="decimal"/>
      <w:lvlText w:val="%1."/>
      <w:lvlJc w:val="left"/>
      <w:pPr>
        <w:tabs>
          <w:tab w:val="num" w:pos="1440"/>
        </w:tabs>
        <w:ind w:left="1440" w:hanging="360"/>
      </w:pPr>
    </w:lvl>
  </w:abstractNum>
  <w:abstractNum w:abstractNumId="2">
    <w:nsid w:val="FFFFFF7E"/>
    <w:multiLevelType w:val="singleLevel"/>
    <w:tmpl w:val="035EA52E"/>
    <w:lvl w:ilvl="0">
      <w:start w:val="1"/>
      <w:numFmt w:val="decimal"/>
      <w:lvlText w:val="%1."/>
      <w:lvlJc w:val="left"/>
      <w:pPr>
        <w:tabs>
          <w:tab w:val="num" w:pos="1080"/>
        </w:tabs>
        <w:ind w:left="1080" w:hanging="360"/>
      </w:pPr>
    </w:lvl>
  </w:abstractNum>
  <w:abstractNum w:abstractNumId="3">
    <w:nsid w:val="FFFFFF7F"/>
    <w:multiLevelType w:val="singleLevel"/>
    <w:tmpl w:val="B400F12E"/>
    <w:lvl w:ilvl="0">
      <w:start w:val="1"/>
      <w:numFmt w:val="decimal"/>
      <w:lvlText w:val="%1."/>
      <w:lvlJc w:val="left"/>
      <w:pPr>
        <w:tabs>
          <w:tab w:val="num" w:pos="720"/>
        </w:tabs>
        <w:ind w:left="720" w:hanging="360"/>
      </w:pPr>
    </w:lvl>
  </w:abstractNum>
  <w:abstractNum w:abstractNumId="4">
    <w:nsid w:val="FFFFFF80"/>
    <w:multiLevelType w:val="singleLevel"/>
    <w:tmpl w:val="C8B2ED6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BEADA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24A854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D386A9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BF242BC"/>
    <w:lvl w:ilvl="0">
      <w:start w:val="1"/>
      <w:numFmt w:val="decimal"/>
      <w:lvlText w:val="%1."/>
      <w:lvlJc w:val="left"/>
      <w:pPr>
        <w:tabs>
          <w:tab w:val="num" w:pos="360"/>
        </w:tabs>
        <w:ind w:left="360" w:hanging="360"/>
      </w:pPr>
    </w:lvl>
  </w:abstractNum>
  <w:abstractNum w:abstractNumId="9">
    <w:nsid w:val="FFFFFF89"/>
    <w:multiLevelType w:val="singleLevel"/>
    <w:tmpl w:val="C56C4714"/>
    <w:lvl w:ilvl="0">
      <w:start w:val="1"/>
      <w:numFmt w:val="bullet"/>
      <w:lvlText w:val=""/>
      <w:lvlJc w:val="left"/>
      <w:pPr>
        <w:tabs>
          <w:tab w:val="num" w:pos="360"/>
        </w:tabs>
        <w:ind w:left="360" w:hanging="360"/>
      </w:pPr>
      <w:rPr>
        <w:rFonts w:ascii="Symbol" w:hAnsi="Symbol" w:hint="default"/>
      </w:rPr>
    </w:lvl>
  </w:abstractNum>
  <w:abstractNum w:abstractNumId="10">
    <w:nsid w:val="07B67C00"/>
    <w:multiLevelType w:val="hybridMultilevel"/>
    <w:tmpl w:val="269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4D52B8"/>
    <w:multiLevelType w:val="hybridMultilevel"/>
    <w:tmpl w:val="3162F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661A32"/>
    <w:multiLevelType w:val="hybridMultilevel"/>
    <w:tmpl w:val="972A8CC4"/>
    <w:lvl w:ilvl="0" w:tplc="B554ED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C073C"/>
    <w:multiLevelType w:val="hybridMultilevel"/>
    <w:tmpl w:val="C658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4020D7"/>
    <w:multiLevelType w:val="multilevel"/>
    <w:tmpl w:val="2A44BF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0DD47A7"/>
    <w:multiLevelType w:val="hybridMultilevel"/>
    <w:tmpl w:val="2EC2114A"/>
    <w:lvl w:ilvl="0" w:tplc="810ABFF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F23AD8"/>
    <w:multiLevelType w:val="hybridMultilevel"/>
    <w:tmpl w:val="9E523E4C"/>
    <w:lvl w:ilvl="0" w:tplc="617AF528">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9A75ED5"/>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F37415B"/>
    <w:multiLevelType w:val="multilevel"/>
    <w:tmpl w:val="F8AA3F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A5D76F6"/>
    <w:multiLevelType w:val="hybridMultilevel"/>
    <w:tmpl w:val="292A9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C044C92"/>
    <w:multiLevelType w:val="hybridMultilevel"/>
    <w:tmpl w:val="9FC49A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D3E6BF9"/>
    <w:multiLevelType w:val="multilevel"/>
    <w:tmpl w:val="0409001F"/>
    <w:numStyleLink w:val="Style2"/>
  </w:abstractNum>
  <w:abstractNum w:abstractNumId="22">
    <w:nsid w:val="65F11EEE"/>
    <w:multiLevelType w:val="hybridMultilevel"/>
    <w:tmpl w:val="3F88D58C"/>
    <w:lvl w:ilvl="0" w:tplc="F072E5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6CB059CF"/>
    <w:multiLevelType w:val="hybridMultilevel"/>
    <w:tmpl w:val="EDBCC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E03224"/>
    <w:multiLevelType w:val="hybridMultilevel"/>
    <w:tmpl w:val="761469AA"/>
    <w:lvl w:ilvl="0" w:tplc="23B08ABA">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5">
    <w:nsid w:val="7AC93F12"/>
    <w:multiLevelType w:val="hybridMultilevel"/>
    <w:tmpl w:val="31226E2A"/>
    <w:lvl w:ilvl="0" w:tplc="7CD45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B426C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BD73C26"/>
    <w:multiLevelType w:val="multilevel"/>
    <w:tmpl w:val="062C46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10"/>
  </w:num>
  <w:num w:numId="3">
    <w:abstractNumId w:val="14"/>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4"/>
  </w:num>
  <w:num w:numId="17">
    <w:abstractNumId w:val="23"/>
  </w:num>
  <w:num w:numId="18">
    <w:abstractNumId w:val="13"/>
  </w:num>
  <w:num w:numId="19">
    <w:abstractNumId w:val="19"/>
  </w:num>
  <w:num w:numId="20">
    <w:abstractNumId w:val="11"/>
  </w:num>
  <w:num w:numId="21">
    <w:abstractNumId w:val="27"/>
  </w:num>
  <w:num w:numId="22">
    <w:abstractNumId w:val="26"/>
  </w:num>
  <w:num w:numId="23">
    <w:abstractNumId w:val="17"/>
  </w:num>
  <w:num w:numId="24">
    <w:abstractNumId w:val="21"/>
    <w:lvlOverride w:ilvl="0">
      <w:lvl w:ilvl="0">
        <w:numFmt w:val="decimal"/>
        <w:lvlText w:val=""/>
        <w:lvlJc w:val="left"/>
      </w:lvl>
    </w:lvlOverride>
    <w:lvlOverride w:ilvl="1">
      <w:lvl w:ilvl="1">
        <w:start w:val="2"/>
        <w:numFmt w:val="decimal"/>
        <w:lvlText w:val="%1.%2."/>
        <w:lvlJc w:val="left"/>
        <w:pPr>
          <w:ind w:left="792" w:hanging="432"/>
        </w:pPr>
      </w:lvl>
    </w:lvlOverride>
  </w:num>
  <w:num w:numId="25">
    <w:abstractNumId w:val="16"/>
  </w:num>
  <w:num w:numId="26">
    <w:abstractNumId w:val="15"/>
  </w:num>
  <w:num w:numId="27">
    <w:abstractNumId w:val="25"/>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FE51EB"/>
    <w:rsid w:val="0000052D"/>
    <w:rsid w:val="0000120F"/>
    <w:rsid w:val="00001474"/>
    <w:rsid w:val="000033C2"/>
    <w:rsid w:val="000035C5"/>
    <w:rsid w:val="00004237"/>
    <w:rsid w:val="0000451E"/>
    <w:rsid w:val="00004628"/>
    <w:rsid w:val="000055E7"/>
    <w:rsid w:val="00005F0B"/>
    <w:rsid w:val="00006487"/>
    <w:rsid w:val="0000665F"/>
    <w:rsid w:val="00007860"/>
    <w:rsid w:val="00007C77"/>
    <w:rsid w:val="00010145"/>
    <w:rsid w:val="00010B30"/>
    <w:rsid w:val="0001139F"/>
    <w:rsid w:val="0001161B"/>
    <w:rsid w:val="00012190"/>
    <w:rsid w:val="00012241"/>
    <w:rsid w:val="0001255C"/>
    <w:rsid w:val="000126E8"/>
    <w:rsid w:val="00013969"/>
    <w:rsid w:val="00014533"/>
    <w:rsid w:val="00014C71"/>
    <w:rsid w:val="00014DD9"/>
    <w:rsid w:val="000151A2"/>
    <w:rsid w:val="00017E65"/>
    <w:rsid w:val="000202A4"/>
    <w:rsid w:val="00020F6A"/>
    <w:rsid w:val="000210B0"/>
    <w:rsid w:val="00021373"/>
    <w:rsid w:val="00022C2F"/>
    <w:rsid w:val="00022C86"/>
    <w:rsid w:val="00022D9A"/>
    <w:rsid w:val="00023EAB"/>
    <w:rsid w:val="00024121"/>
    <w:rsid w:val="00025363"/>
    <w:rsid w:val="0002536B"/>
    <w:rsid w:val="0002567A"/>
    <w:rsid w:val="00026153"/>
    <w:rsid w:val="00027033"/>
    <w:rsid w:val="00027FBA"/>
    <w:rsid w:val="0003042D"/>
    <w:rsid w:val="000309F4"/>
    <w:rsid w:val="0003103C"/>
    <w:rsid w:val="00031D1C"/>
    <w:rsid w:val="00032D7C"/>
    <w:rsid w:val="000335D0"/>
    <w:rsid w:val="00033895"/>
    <w:rsid w:val="00033AB1"/>
    <w:rsid w:val="000351F6"/>
    <w:rsid w:val="00036698"/>
    <w:rsid w:val="000369F7"/>
    <w:rsid w:val="00036A4F"/>
    <w:rsid w:val="0003704C"/>
    <w:rsid w:val="00037CA8"/>
    <w:rsid w:val="00037CAA"/>
    <w:rsid w:val="0004015E"/>
    <w:rsid w:val="00040475"/>
    <w:rsid w:val="00041025"/>
    <w:rsid w:val="000411F9"/>
    <w:rsid w:val="000413D7"/>
    <w:rsid w:val="0004143C"/>
    <w:rsid w:val="000423FF"/>
    <w:rsid w:val="000426B4"/>
    <w:rsid w:val="00044789"/>
    <w:rsid w:val="000448AC"/>
    <w:rsid w:val="000449D8"/>
    <w:rsid w:val="00045931"/>
    <w:rsid w:val="0004595A"/>
    <w:rsid w:val="00045E3C"/>
    <w:rsid w:val="0004680E"/>
    <w:rsid w:val="00046C30"/>
    <w:rsid w:val="000473AB"/>
    <w:rsid w:val="00047892"/>
    <w:rsid w:val="000478B4"/>
    <w:rsid w:val="000500C3"/>
    <w:rsid w:val="00050C20"/>
    <w:rsid w:val="00050D0E"/>
    <w:rsid w:val="0005165B"/>
    <w:rsid w:val="0005263D"/>
    <w:rsid w:val="00053DFC"/>
    <w:rsid w:val="00055854"/>
    <w:rsid w:val="00055CD0"/>
    <w:rsid w:val="00055E8D"/>
    <w:rsid w:val="0005649C"/>
    <w:rsid w:val="00056EBD"/>
    <w:rsid w:val="000575AA"/>
    <w:rsid w:val="00057BAA"/>
    <w:rsid w:val="000609D9"/>
    <w:rsid w:val="0006181F"/>
    <w:rsid w:val="0006183F"/>
    <w:rsid w:val="00061A6D"/>
    <w:rsid w:val="00062CB4"/>
    <w:rsid w:val="0006325C"/>
    <w:rsid w:val="00063E29"/>
    <w:rsid w:val="00064646"/>
    <w:rsid w:val="0006507F"/>
    <w:rsid w:val="00065357"/>
    <w:rsid w:val="00065443"/>
    <w:rsid w:val="00065C9C"/>
    <w:rsid w:val="000660A1"/>
    <w:rsid w:val="000664F2"/>
    <w:rsid w:val="00066E47"/>
    <w:rsid w:val="00070246"/>
    <w:rsid w:val="000704DE"/>
    <w:rsid w:val="00070945"/>
    <w:rsid w:val="00070DB3"/>
    <w:rsid w:val="00071DEC"/>
    <w:rsid w:val="00071F21"/>
    <w:rsid w:val="000720B3"/>
    <w:rsid w:val="0007218C"/>
    <w:rsid w:val="00072BF3"/>
    <w:rsid w:val="00073093"/>
    <w:rsid w:val="00073D3D"/>
    <w:rsid w:val="00074444"/>
    <w:rsid w:val="00074790"/>
    <w:rsid w:val="00074B66"/>
    <w:rsid w:val="00074DBD"/>
    <w:rsid w:val="00074F07"/>
    <w:rsid w:val="00075117"/>
    <w:rsid w:val="00075396"/>
    <w:rsid w:val="00075551"/>
    <w:rsid w:val="000758A6"/>
    <w:rsid w:val="00075BB2"/>
    <w:rsid w:val="00076C11"/>
    <w:rsid w:val="00077ADC"/>
    <w:rsid w:val="00077B5B"/>
    <w:rsid w:val="00077FCC"/>
    <w:rsid w:val="0008047B"/>
    <w:rsid w:val="00081A19"/>
    <w:rsid w:val="00081CC0"/>
    <w:rsid w:val="00081E55"/>
    <w:rsid w:val="0008202D"/>
    <w:rsid w:val="00082FA2"/>
    <w:rsid w:val="00083DAD"/>
    <w:rsid w:val="00083F1A"/>
    <w:rsid w:val="000843B3"/>
    <w:rsid w:val="00084D34"/>
    <w:rsid w:val="00084F81"/>
    <w:rsid w:val="00085622"/>
    <w:rsid w:val="00085E00"/>
    <w:rsid w:val="000863D5"/>
    <w:rsid w:val="00086874"/>
    <w:rsid w:val="00086DCC"/>
    <w:rsid w:val="0008749E"/>
    <w:rsid w:val="00087951"/>
    <w:rsid w:val="00090F72"/>
    <w:rsid w:val="00092551"/>
    <w:rsid w:val="00092EDE"/>
    <w:rsid w:val="000947AC"/>
    <w:rsid w:val="00095062"/>
    <w:rsid w:val="00095543"/>
    <w:rsid w:val="00095DFE"/>
    <w:rsid w:val="00097DDE"/>
    <w:rsid w:val="000A011D"/>
    <w:rsid w:val="000A0C65"/>
    <w:rsid w:val="000A154E"/>
    <w:rsid w:val="000A177D"/>
    <w:rsid w:val="000A1C79"/>
    <w:rsid w:val="000A1FBE"/>
    <w:rsid w:val="000A2788"/>
    <w:rsid w:val="000A2A02"/>
    <w:rsid w:val="000A30DD"/>
    <w:rsid w:val="000A427B"/>
    <w:rsid w:val="000A4BAD"/>
    <w:rsid w:val="000A64F3"/>
    <w:rsid w:val="000A6571"/>
    <w:rsid w:val="000A6659"/>
    <w:rsid w:val="000A6D1B"/>
    <w:rsid w:val="000A7DCA"/>
    <w:rsid w:val="000A7F3C"/>
    <w:rsid w:val="000B022E"/>
    <w:rsid w:val="000B151A"/>
    <w:rsid w:val="000B16AC"/>
    <w:rsid w:val="000B205A"/>
    <w:rsid w:val="000B2F69"/>
    <w:rsid w:val="000B3689"/>
    <w:rsid w:val="000B381D"/>
    <w:rsid w:val="000B449B"/>
    <w:rsid w:val="000B4904"/>
    <w:rsid w:val="000B4A1C"/>
    <w:rsid w:val="000B6204"/>
    <w:rsid w:val="000B65A4"/>
    <w:rsid w:val="000B6896"/>
    <w:rsid w:val="000B6F77"/>
    <w:rsid w:val="000B70D6"/>
    <w:rsid w:val="000B7263"/>
    <w:rsid w:val="000B7ABB"/>
    <w:rsid w:val="000C0603"/>
    <w:rsid w:val="000C2290"/>
    <w:rsid w:val="000C231C"/>
    <w:rsid w:val="000C24A4"/>
    <w:rsid w:val="000C4234"/>
    <w:rsid w:val="000C46F9"/>
    <w:rsid w:val="000C632A"/>
    <w:rsid w:val="000C63C7"/>
    <w:rsid w:val="000C68EC"/>
    <w:rsid w:val="000C762A"/>
    <w:rsid w:val="000D0D25"/>
    <w:rsid w:val="000D0F03"/>
    <w:rsid w:val="000D1CC7"/>
    <w:rsid w:val="000D2DD7"/>
    <w:rsid w:val="000D39EF"/>
    <w:rsid w:val="000D3A8C"/>
    <w:rsid w:val="000D4BA7"/>
    <w:rsid w:val="000D5539"/>
    <w:rsid w:val="000D59F4"/>
    <w:rsid w:val="000D5B56"/>
    <w:rsid w:val="000D702F"/>
    <w:rsid w:val="000D77EA"/>
    <w:rsid w:val="000D79AD"/>
    <w:rsid w:val="000D7F0E"/>
    <w:rsid w:val="000E048B"/>
    <w:rsid w:val="000E09AC"/>
    <w:rsid w:val="000E0B87"/>
    <w:rsid w:val="000E13ED"/>
    <w:rsid w:val="000E165E"/>
    <w:rsid w:val="000E2F7F"/>
    <w:rsid w:val="000E3B6B"/>
    <w:rsid w:val="000E4485"/>
    <w:rsid w:val="000E45A7"/>
    <w:rsid w:val="000E48C0"/>
    <w:rsid w:val="000E4FE9"/>
    <w:rsid w:val="000E58A7"/>
    <w:rsid w:val="000E6BEE"/>
    <w:rsid w:val="000E7CB5"/>
    <w:rsid w:val="000F0106"/>
    <w:rsid w:val="000F049B"/>
    <w:rsid w:val="000F086C"/>
    <w:rsid w:val="000F0D78"/>
    <w:rsid w:val="000F189F"/>
    <w:rsid w:val="000F1C68"/>
    <w:rsid w:val="000F1F1D"/>
    <w:rsid w:val="000F3742"/>
    <w:rsid w:val="000F39CB"/>
    <w:rsid w:val="000F3AAE"/>
    <w:rsid w:val="000F4B1B"/>
    <w:rsid w:val="000F4DBC"/>
    <w:rsid w:val="000F54A4"/>
    <w:rsid w:val="000F5BCB"/>
    <w:rsid w:val="000F64D5"/>
    <w:rsid w:val="000F6747"/>
    <w:rsid w:val="000F72E4"/>
    <w:rsid w:val="0010125F"/>
    <w:rsid w:val="0010147E"/>
    <w:rsid w:val="0010174F"/>
    <w:rsid w:val="00101757"/>
    <w:rsid w:val="00101CE6"/>
    <w:rsid w:val="00101D75"/>
    <w:rsid w:val="00101F37"/>
    <w:rsid w:val="00102A5D"/>
    <w:rsid w:val="00103147"/>
    <w:rsid w:val="00103455"/>
    <w:rsid w:val="00105327"/>
    <w:rsid w:val="0010575C"/>
    <w:rsid w:val="00105822"/>
    <w:rsid w:val="00105974"/>
    <w:rsid w:val="00105B64"/>
    <w:rsid w:val="001070DA"/>
    <w:rsid w:val="001100AC"/>
    <w:rsid w:val="00110AD7"/>
    <w:rsid w:val="00112F06"/>
    <w:rsid w:val="00113C60"/>
    <w:rsid w:val="00114677"/>
    <w:rsid w:val="00114B76"/>
    <w:rsid w:val="001157E1"/>
    <w:rsid w:val="00115FB0"/>
    <w:rsid w:val="001179F7"/>
    <w:rsid w:val="00117E02"/>
    <w:rsid w:val="00120ABD"/>
    <w:rsid w:val="00120C84"/>
    <w:rsid w:val="0012132F"/>
    <w:rsid w:val="0012171F"/>
    <w:rsid w:val="00121B07"/>
    <w:rsid w:val="001237EA"/>
    <w:rsid w:val="00123E61"/>
    <w:rsid w:val="00123F2D"/>
    <w:rsid w:val="00124400"/>
    <w:rsid w:val="0012611D"/>
    <w:rsid w:val="001269A7"/>
    <w:rsid w:val="00126D02"/>
    <w:rsid w:val="00126DB2"/>
    <w:rsid w:val="00132127"/>
    <w:rsid w:val="00132425"/>
    <w:rsid w:val="00133DCA"/>
    <w:rsid w:val="00133F65"/>
    <w:rsid w:val="00134EA9"/>
    <w:rsid w:val="00135824"/>
    <w:rsid w:val="00135C0B"/>
    <w:rsid w:val="00135EC5"/>
    <w:rsid w:val="001367F4"/>
    <w:rsid w:val="001367FE"/>
    <w:rsid w:val="00136C93"/>
    <w:rsid w:val="00136F8F"/>
    <w:rsid w:val="0013756E"/>
    <w:rsid w:val="001375D6"/>
    <w:rsid w:val="00137E74"/>
    <w:rsid w:val="00141E1E"/>
    <w:rsid w:val="00143DA3"/>
    <w:rsid w:val="0014405C"/>
    <w:rsid w:val="00145978"/>
    <w:rsid w:val="00146A0F"/>
    <w:rsid w:val="00146B5C"/>
    <w:rsid w:val="00147113"/>
    <w:rsid w:val="00150AC4"/>
    <w:rsid w:val="001513CD"/>
    <w:rsid w:val="00152CCE"/>
    <w:rsid w:val="001538E0"/>
    <w:rsid w:val="0015451A"/>
    <w:rsid w:val="001545F1"/>
    <w:rsid w:val="001547A8"/>
    <w:rsid w:val="00154B9F"/>
    <w:rsid w:val="00155677"/>
    <w:rsid w:val="00155ADB"/>
    <w:rsid w:val="00155BD2"/>
    <w:rsid w:val="00156617"/>
    <w:rsid w:val="00156BAE"/>
    <w:rsid w:val="0015744A"/>
    <w:rsid w:val="001606FB"/>
    <w:rsid w:val="001608AF"/>
    <w:rsid w:val="00160C00"/>
    <w:rsid w:val="00160C7C"/>
    <w:rsid w:val="00161639"/>
    <w:rsid w:val="00161F0E"/>
    <w:rsid w:val="001623BB"/>
    <w:rsid w:val="001629D0"/>
    <w:rsid w:val="00163197"/>
    <w:rsid w:val="001649E8"/>
    <w:rsid w:val="001650E3"/>
    <w:rsid w:val="00165BC4"/>
    <w:rsid w:val="00166A8A"/>
    <w:rsid w:val="00166E40"/>
    <w:rsid w:val="00167C4D"/>
    <w:rsid w:val="001728B0"/>
    <w:rsid w:val="00172C55"/>
    <w:rsid w:val="00173F9C"/>
    <w:rsid w:val="00175205"/>
    <w:rsid w:val="00175B29"/>
    <w:rsid w:val="00176465"/>
    <w:rsid w:val="00177E22"/>
    <w:rsid w:val="00177F79"/>
    <w:rsid w:val="001804A1"/>
    <w:rsid w:val="00180F00"/>
    <w:rsid w:val="00181324"/>
    <w:rsid w:val="00181BF1"/>
    <w:rsid w:val="00181DC6"/>
    <w:rsid w:val="00183C0C"/>
    <w:rsid w:val="001841B7"/>
    <w:rsid w:val="00184C7D"/>
    <w:rsid w:val="00186328"/>
    <w:rsid w:val="00186736"/>
    <w:rsid w:val="0018686C"/>
    <w:rsid w:val="00187664"/>
    <w:rsid w:val="00187F81"/>
    <w:rsid w:val="00190337"/>
    <w:rsid w:val="00191069"/>
    <w:rsid w:val="00191871"/>
    <w:rsid w:val="00191CB0"/>
    <w:rsid w:val="00191E0A"/>
    <w:rsid w:val="00192C03"/>
    <w:rsid w:val="00193C40"/>
    <w:rsid w:val="001942F4"/>
    <w:rsid w:val="0019452E"/>
    <w:rsid w:val="0019460F"/>
    <w:rsid w:val="0019597B"/>
    <w:rsid w:val="00195D3E"/>
    <w:rsid w:val="0019684F"/>
    <w:rsid w:val="00196862"/>
    <w:rsid w:val="00196C60"/>
    <w:rsid w:val="00197FC1"/>
    <w:rsid w:val="001A0095"/>
    <w:rsid w:val="001A0830"/>
    <w:rsid w:val="001A2122"/>
    <w:rsid w:val="001A2920"/>
    <w:rsid w:val="001A2A26"/>
    <w:rsid w:val="001A339B"/>
    <w:rsid w:val="001A33AA"/>
    <w:rsid w:val="001A40BA"/>
    <w:rsid w:val="001A4407"/>
    <w:rsid w:val="001A4F67"/>
    <w:rsid w:val="001A549A"/>
    <w:rsid w:val="001A5F3C"/>
    <w:rsid w:val="001A6B37"/>
    <w:rsid w:val="001A754C"/>
    <w:rsid w:val="001A7D78"/>
    <w:rsid w:val="001B0E0A"/>
    <w:rsid w:val="001B2EFB"/>
    <w:rsid w:val="001B3379"/>
    <w:rsid w:val="001B33C9"/>
    <w:rsid w:val="001B34D1"/>
    <w:rsid w:val="001B3D2F"/>
    <w:rsid w:val="001B3EAC"/>
    <w:rsid w:val="001B3FDE"/>
    <w:rsid w:val="001B4252"/>
    <w:rsid w:val="001B4507"/>
    <w:rsid w:val="001B46C6"/>
    <w:rsid w:val="001B47CE"/>
    <w:rsid w:val="001B6197"/>
    <w:rsid w:val="001B67AC"/>
    <w:rsid w:val="001B7D94"/>
    <w:rsid w:val="001C044A"/>
    <w:rsid w:val="001C070A"/>
    <w:rsid w:val="001C074C"/>
    <w:rsid w:val="001C0A2B"/>
    <w:rsid w:val="001C0B52"/>
    <w:rsid w:val="001C0EC9"/>
    <w:rsid w:val="001C0FD3"/>
    <w:rsid w:val="001C1528"/>
    <w:rsid w:val="001C4F60"/>
    <w:rsid w:val="001C516A"/>
    <w:rsid w:val="001C58C4"/>
    <w:rsid w:val="001C6258"/>
    <w:rsid w:val="001C6A4A"/>
    <w:rsid w:val="001C77D3"/>
    <w:rsid w:val="001C7A82"/>
    <w:rsid w:val="001D0F5A"/>
    <w:rsid w:val="001D1558"/>
    <w:rsid w:val="001D3220"/>
    <w:rsid w:val="001D3375"/>
    <w:rsid w:val="001D4B43"/>
    <w:rsid w:val="001D586B"/>
    <w:rsid w:val="001D5CE3"/>
    <w:rsid w:val="001D60B4"/>
    <w:rsid w:val="001D62B0"/>
    <w:rsid w:val="001D6460"/>
    <w:rsid w:val="001D6EC1"/>
    <w:rsid w:val="001D702A"/>
    <w:rsid w:val="001D707C"/>
    <w:rsid w:val="001D7442"/>
    <w:rsid w:val="001D793F"/>
    <w:rsid w:val="001E05CC"/>
    <w:rsid w:val="001E0F42"/>
    <w:rsid w:val="001E17D3"/>
    <w:rsid w:val="001E1BE6"/>
    <w:rsid w:val="001E220E"/>
    <w:rsid w:val="001E28B5"/>
    <w:rsid w:val="001E2ED6"/>
    <w:rsid w:val="001E38FC"/>
    <w:rsid w:val="001E4CBE"/>
    <w:rsid w:val="001E69CA"/>
    <w:rsid w:val="001E6F84"/>
    <w:rsid w:val="001E728B"/>
    <w:rsid w:val="001F055D"/>
    <w:rsid w:val="001F06FB"/>
    <w:rsid w:val="001F17D3"/>
    <w:rsid w:val="001F249C"/>
    <w:rsid w:val="001F2ACB"/>
    <w:rsid w:val="001F2E37"/>
    <w:rsid w:val="001F35AC"/>
    <w:rsid w:val="001F3719"/>
    <w:rsid w:val="001F392E"/>
    <w:rsid w:val="001F3D2C"/>
    <w:rsid w:val="001F3F6D"/>
    <w:rsid w:val="001F4BBC"/>
    <w:rsid w:val="001F4E03"/>
    <w:rsid w:val="001F5882"/>
    <w:rsid w:val="001F5C5D"/>
    <w:rsid w:val="001F6A26"/>
    <w:rsid w:val="001F7956"/>
    <w:rsid w:val="00200666"/>
    <w:rsid w:val="00200AFD"/>
    <w:rsid w:val="002011AB"/>
    <w:rsid w:val="002012A6"/>
    <w:rsid w:val="00201532"/>
    <w:rsid w:val="0020180A"/>
    <w:rsid w:val="00201A54"/>
    <w:rsid w:val="00202241"/>
    <w:rsid w:val="0020355E"/>
    <w:rsid w:val="00204174"/>
    <w:rsid w:val="00204EAE"/>
    <w:rsid w:val="002053C2"/>
    <w:rsid w:val="00205796"/>
    <w:rsid w:val="00205CFA"/>
    <w:rsid w:val="002060CD"/>
    <w:rsid w:val="0020671E"/>
    <w:rsid w:val="00206737"/>
    <w:rsid w:val="00206CFB"/>
    <w:rsid w:val="00206FBC"/>
    <w:rsid w:val="00207220"/>
    <w:rsid w:val="002075E9"/>
    <w:rsid w:val="00210257"/>
    <w:rsid w:val="00210AC7"/>
    <w:rsid w:val="00210AED"/>
    <w:rsid w:val="00210C81"/>
    <w:rsid w:val="00210F72"/>
    <w:rsid w:val="0021152D"/>
    <w:rsid w:val="00212FBB"/>
    <w:rsid w:val="00212FF4"/>
    <w:rsid w:val="00213547"/>
    <w:rsid w:val="0021371F"/>
    <w:rsid w:val="00214116"/>
    <w:rsid w:val="00214BFD"/>
    <w:rsid w:val="00214C0D"/>
    <w:rsid w:val="00215AC0"/>
    <w:rsid w:val="00216FA6"/>
    <w:rsid w:val="00217845"/>
    <w:rsid w:val="00220773"/>
    <w:rsid w:val="002208FC"/>
    <w:rsid w:val="002226D0"/>
    <w:rsid w:val="00222E72"/>
    <w:rsid w:val="00223698"/>
    <w:rsid w:val="00224109"/>
    <w:rsid w:val="002249F4"/>
    <w:rsid w:val="002260CF"/>
    <w:rsid w:val="0022646A"/>
    <w:rsid w:val="00226ADE"/>
    <w:rsid w:val="00227B67"/>
    <w:rsid w:val="00227F97"/>
    <w:rsid w:val="00230398"/>
    <w:rsid w:val="002306CE"/>
    <w:rsid w:val="002317AC"/>
    <w:rsid w:val="0023344B"/>
    <w:rsid w:val="00233B25"/>
    <w:rsid w:val="00233B3D"/>
    <w:rsid w:val="00234B3F"/>
    <w:rsid w:val="00234C1A"/>
    <w:rsid w:val="00235263"/>
    <w:rsid w:val="002357B6"/>
    <w:rsid w:val="002357C9"/>
    <w:rsid w:val="00236055"/>
    <w:rsid w:val="00236646"/>
    <w:rsid w:val="0023667C"/>
    <w:rsid w:val="00236C0D"/>
    <w:rsid w:val="00236ED1"/>
    <w:rsid w:val="00236F2B"/>
    <w:rsid w:val="00237153"/>
    <w:rsid w:val="00240D7E"/>
    <w:rsid w:val="00240EAB"/>
    <w:rsid w:val="002415A5"/>
    <w:rsid w:val="002419E8"/>
    <w:rsid w:val="0024210A"/>
    <w:rsid w:val="0024330E"/>
    <w:rsid w:val="00245D7C"/>
    <w:rsid w:val="00246381"/>
    <w:rsid w:val="002470D1"/>
    <w:rsid w:val="00247137"/>
    <w:rsid w:val="00247D46"/>
    <w:rsid w:val="00250657"/>
    <w:rsid w:val="002506CD"/>
    <w:rsid w:val="00250D63"/>
    <w:rsid w:val="00250F0E"/>
    <w:rsid w:val="00250FFE"/>
    <w:rsid w:val="002512A4"/>
    <w:rsid w:val="00251386"/>
    <w:rsid w:val="00252759"/>
    <w:rsid w:val="002530C8"/>
    <w:rsid w:val="002530FC"/>
    <w:rsid w:val="00253D3D"/>
    <w:rsid w:val="00254E47"/>
    <w:rsid w:val="00254ED1"/>
    <w:rsid w:val="00255BCF"/>
    <w:rsid w:val="00256149"/>
    <w:rsid w:val="00260000"/>
    <w:rsid w:val="002600F9"/>
    <w:rsid w:val="00260C06"/>
    <w:rsid w:val="00260CBC"/>
    <w:rsid w:val="00260E90"/>
    <w:rsid w:val="0026142F"/>
    <w:rsid w:val="0026193D"/>
    <w:rsid w:val="002622DD"/>
    <w:rsid w:val="00262417"/>
    <w:rsid w:val="002624AE"/>
    <w:rsid w:val="0026251B"/>
    <w:rsid w:val="002626F6"/>
    <w:rsid w:val="00262702"/>
    <w:rsid w:val="00262DC9"/>
    <w:rsid w:val="00263105"/>
    <w:rsid w:val="00263779"/>
    <w:rsid w:val="002638D5"/>
    <w:rsid w:val="00263E68"/>
    <w:rsid w:val="002642EC"/>
    <w:rsid w:val="00264E5C"/>
    <w:rsid w:val="002658EF"/>
    <w:rsid w:val="00265E2A"/>
    <w:rsid w:val="00266193"/>
    <w:rsid w:val="002667E2"/>
    <w:rsid w:val="00266E1F"/>
    <w:rsid w:val="00267354"/>
    <w:rsid w:val="00267B85"/>
    <w:rsid w:val="0027008D"/>
    <w:rsid w:val="00270C7B"/>
    <w:rsid w:val="00271D7B"/>
    <w:rsid w:val="00272204"/>
    <w:rsid w:val="00272EE8"/>
    <w:rsid w:val="002738CB"/>
    <w:rsid w:val="00274AA7"/>
    <w:rsid w:val="00274BB9"/>
    <w:rsid w:val="00277726"/>
    <w:rsid w:val="00280BF2"/>
    <w:rsid w:val="00281B42"/>
    <w:rsid w:val="00281EAD"/>
    <w:rsid w:val="0028221D"/>
    <w:rsid w:val="00282572"/>
    <w:rsid w:val="002825CF"/>
    <w:rsid w:val="00282A8D"/>
    <w:rsid w:val="00283439"/>
    <w:rsid w:val="002834AF"/>
    <w:rsid w:val="002834D0"/>
    <w:rsid w:val="002837AA"/>
    <w:rsid w:val="00283BCD"/>
    <w:rsid w:val="00284265"/>
    <w:rsid w:val="002843BD"/>
    <w:rsid w:val="002844ED"/>
    <w:rsid w:val="00285173"/>
    <w:rsid w:val="0028642C"/>
    <w:rsid w:val="00287B40"/>
    <w:rsid w:val="00287BD9"/>
    <w:rsid w:val="0029069C"/>
    <w:rsid w:val="002908FB"/>
    <w:rsid w:val="00290DC8"/>
    <w:rsid w:val="002913FB"/>
    <w:rsid w:val="002936EE"/>
    <w:rsid w:val="00293D18"/>
    <w:rsid w:val="00294A82"/>
    <w:rsid w:val="00294F06"/>
    <w:rsid w:val="00295668"/>
    <w:rsid w:val="00295E84"/>
    <w:rsid w:val="0029640D"/>
    <w:rsid w:val="00296420"/>
    <w:rsid w:val="00296BF6"/>
    <w:rsid w:val="002A03EA"/>
    <w:rsid w:val="002A06F9"/>
    <w:rsid w:val="002A0BBA"/>
    <w:rsid w:val="002A12B3"/>
    <w:rsid w:val="002A14F0"/>
    <w:rsid w:val="002A22E2"/>
    <w:rsid w:val="002A3CB5"/>
    <w:rsid w:val="002A5142"/>
    <w:rsid w:val="002A5916"/>
    <w:rsid w:val="002A67C9"/>
    <w:rsid w:val="002A7381"/>
    <w:rsid w:val="002A764B"/>
    <w:rsid w:val="002A7C33"/>
    <w:rsid w:val="002B0418"/>
    <w:rsid w:val="002B0CCF"/>
    <w:rsid w:val="002B22E4"/>
    <w:rsid w:val="002B3506"/>
    <w:rsid w:val="002B36FF"/>
    <w:rsid w:val="002B3857"/>
    <w:rsid w:val="002B3E16"/>
    <w:rsid w:val="002B3EEB"/>
    <w:rsid w:val="002B4259"/>
    <w:rsid w:val="002B42EE"/>
    <w:rsid w:val="002B43B6"/>
    <w:rsid w:val="002B4CEB"/>
    <w:rsid w:val="002B5005"/>
    <w:rsid w:val="002B51F2"/>
    <w:rsid w:val="002B5A20"/>
    <w:rsid w:val="002B6F0B"/>
    <w:rsid w:val="002B715C"/>
    <w:rsid w:val="002C1780"/>
    <w:rsid w:val="002C1891"/>
    <w:rsid w:val="002C1FC8"/>
    <w:rsid w:val="002C2896"/>
    <w:rsid w:val="002C3C6D"/>
    <w:rsid w:val="002C41A5"/>
    <w:rsid w:val="002C4C6D"/>
    <w:rsid w:val="002C4E99"/>
    <w:rsid w:val="002C50E3"/>
    <w:rsid w:val="002C516B"/>
    <w:rsid w:val="002C61E0"/>
    <w:rsid w:val="002C628E"/>
    <w:rsid w:val="002C6740"/>
    <w:rsid w:val="002D1351"/>
    <w:rsid w:val="002D165A"/>
    <w:rsid w:val="002D1C23"/>
    <w:rsid w:val="002D1DD4"/>
    <w:rsid w:val="002D236D"/>
    <w:rsid w:val="002D2377"/>
    <w:rsid w:val="002D3422"/>
    <w:rsid w:val="002D555D"/>
    <w:rsid w:val="002D5B45"/>
    <w:rsid w:val="002D664F"/>
    <w:rsid w:val="002D7A43"/>
    <w:rsid w:val="002E073C"/>
    <w:rsid w:val="002E1CD2"/>
    <w:rsid w:val="002E1EBF"/>
    <w:rsid w:val="002E1F09"/>
    <w:rsid w:val="002E2226"/>
    <w:rsid w:val="002E2B57"/>
    <w:rsid w:val="002E33DB"/>
    <w:rsid w:val="002E3E00"/>
    <w:rsid w:val="002E4979"/>
    <w:rsid w:val="002E7CF4"/>
    <w:rsid w:val="002F00F9"/>
    <w:rsid w:val="002F1543"/>
    <w:rsid w:val="002F161B"/>
    <w:rsid w:val="002F1C62"/>
    <w:rsid w:val="002F201C"/>
    <w:rsid w:val="002F2092"/>
    <w:rsid w:val="002F34DA"/>
    <w:rsid w:val="002F37A3"/>
    <w:rsid w:val="002F3887"/>
    <w:rsid w:val="002F4230"/>
    <w:rsid w:val="002F4AA4"/>
    <w:rsid w:val="002F62C9"/>
    <w:rsid w:val="002F792D"/>
    <w:rsid w:val="002F7D7E"/>
    <w:rsid w:val="00301532"/>
    <w:rsid w:val="00302907"/>
    <w:rsid w:val="00302E31"/>
    <w:rsid w:val="00304D2E"/>
    <w:rsid w:val="0030521B"/>
    <w:rsid w:val="003055D2"/>
    <w:rsid w:val="00305BA2"/>
    <w:rsid w:val="0030750B"/>
    <w:rsid w:val="003104C2"/>
    <w:rsid w:val="003105C8"/>
    <w:rsid w:val="003109F6"/>
    <w:rsid w:val="00310A0F"/>
    <w:rsid w:val="0031116F"/>
    <w:rsid w:val="00311381"/>
    <w:rsid w:val="00311FAF"/>
    <w:rsid w:val="003126F6"/>
    <w:rsid w:val="00313432"/>
    <w:rsid w:val="00313A18"/>
    <w:rsid w:val="00315D26"/>
    <w:rsid w:val="00315FC9"/>
    <w:rsid w:val="00316338"/>
    <w:rsid w:val="0031690D"/>
    <w:rsid w:val="00317067"/>
    <w:rsid w:val="00317218"/>
    <w:rsid w:val="00317322"/>
    <w:rsid w:val="003174C4"/>
    <w:rsid w:val="003212B9"/>
    <w:rsid w:val="00321B94"/>
    <w:rsid w:val="00321D7C"/>
    <w:rsid w:val="00322628"/>
    <w:rsid w:val="003238E4"/>
    <w:rsid w:val="00323CD5"/>
    <w:rsid w:val="00323EBD"/>
    <w:rsid w:val="003246DE"/>
    <w:rsid w:val="00324820"/>
    <w:rsid w:val="00325253"/>
    <w:rsid w:val="003254CB"/>
    <w:rsid w:val="00325E62"/>
    <w:rsid w:val="003265EF"/>
    <w:rsid w:val="00327383"/>
    <w:rsid w:val="00327411"/>
    <w:rsid w:val="00330FC2"/>
    <w:rsid w:val="0033153E"/>
    <w:rsid w:val="00331F79"/>
    <w:rsid w:val="00332054"/>
    <w:rsid w:val="00332364"/>
    <w:rsid w:val="003325C6"/>
    <w:rsid w:val="003326FE"/>
    <w:rsid w:val="00332F75"/>
    <w:rsid w:val="003340A8"/>
    <w:rsid w:val="00334E8A"/>
    <w:rsid w:val="00335BB2"/>
    <w:rsid w:val="00335E54"/>
    <w:rsid w:val="00335E5A"/>
    <w:rsid w:val="00336E59"/>
    <w:rsid w:val="00337684"/>
    <w:rsid w:val="0034119E"/>
    <w:rsid w:val="00341B92"/>
    <w:rsid w:val="00342602"/>
    <w:rsid w:val="00342C6E"/>
    <w:rsid w:val="003434C0"/>
    <w:rsid w:val="0034389C"/>
    <w:rsid w:val="00343E45"/>
    <w:rsid w:val="0034433D"/>
    <w:rsid w:val="00344A11"/>
    <w:rsid w:val="00344DBB"/>
    <w:rsid w:val="00344DFB"/>
    <w:rsid w:val="0034531D"/>
    <w:rsid w:val="003458DB"/>
    <w:rsid w:val="00347E75"/>
    <w:rsid w:val="00350C15"/>
    <w:rsid w:val="00350F0E"/>
    <w:rsid w:val="003511AE"/>
    <w:rsid w:val="00351BEA"/>
    <w:rsid w:val="00351DC9"/>
    <w:rsid w:val="0035231D"/>
    <w:rsid w:val="0035278B"/>
    <w:rsid w:val="00352DC5"/>
    <w:rsid w:val="003534B5"/>
    <w:rsid w:val="0035558F"/>
    <w:rsid w:val="00355E18"/>
    <w:rsid w:val="00356095"/>
    <w:rsid w:val="003560BD"/>
    <w:rsid w:val="003562BE"/>
    <w:rsid w:val="00357040"/>
    <w:rsid w:val="003574D7"/>
    <w:rsid w:val="0035765F"/>
    <w:rsid w:val="003578F5"/>
    <w:rsid w:val="00361A34"/>
    <w:rsid w:val="00361B4C"/>
    <w:rsid w:val="003621A5"/>
    <w:rsid w:val="00362B90"/>
    <w:rsid w:val="00362EEA"/>
    <w:rsid w:val="0036315F"/>
    <w:rsid w:val="0036486F"/>
    <w:rsid w:val="0036601C"/>
    <w:rsid w:val="003671C0"/>
    <w:rsid w:val="003674EB"/>
    <w:rsid w:val="00370B81"/>
    <w:rsid w:val="00371F16"/>
    <w:rsid w:val="003728DF"/>
    <w:rsid w:val="0037294F"/>
    <w:rsid w:val="00373526"/>
    <w:rsid w:val="00373941"/>
    <w:rsid w:val="00373F8F"/>
    <w:rsid w:val="00374475"/>
    <w:rsid w:val="00374663"/>
    <w:rsid w:val="00374F96"/>
    <w:rsid w:val="0037506E"/>
    <w:rsid w:val="0037566A"/>
    <w:rsid w:val="0037618A"/>
    <w:rsid w:val="00376199"/>
    <w:rsid w:val="003765CE"/>
    <w:rsid w:val="003769DB"/>
    <w:rsid w:val="003773B5"/>
    <w:rsid w:val="003800CA"/>
    <w:rsid w:val="00380465"/>
    <w:rsid w:val="00380874"/>
    <w:rsid w:val="00380A48"/>
    <w:rsid w:val="00381FC5"/>
    <w:rsid w:val="003820AD"/>
    <w:rsid w:val="00383430"/>
    <w:rsid w:val="003837D8"/>
    <w:rsid w:val="00383F64"/>
    <w:rsid w:val="003844E3"/>
    <w:rsid w:val="0038480D"/>
    <w:rsid w:val="00384E9A"/>
    <w:rsid w:val="00385153"/>
    <w:rsid w:val="0038752A"/>
    <w:rsid w:val="00387688"/>
    <w:rsid w:val="003908D5"/>
    <w:rsid w:val="00390BEA"/>
    <w:rsid w:val="00390C49"/>
    <w:rsid w:val="00390CDE"/>
    <w:rsid w:val="00391A37"/>
    <w:rsid w:val="003926AC"/>
    <w:rsid w:val="00392DB7"/>
    <w:rsid w:val="00393755"/>
    <w:rsid w:val="00393C0A"/>
    <w:rsid w:val="00394AFD"/>
    <w:rsid w:val="00394B14"/>
    <w:rsid w:val="003953B4"/>
    <w:rsid w:val="00397869"/>
    <w:rsid w:val="003979EA"/>
    <w:rsid w:val="00397C91"/>
    <w:rsid w:val="003A0012"/>
    <w:rsid w:val="003A00E8"/>
    <w:rsid w:val="003A099F"/>
    <w:rsid w:val="003A12FF"/>
    <w:rsid w:val="003A33B0"/>
    <w:rsid w:val="003A53C8"/>
    <w:rsid w:val="003A5AA3"/>
    <w:rsid w:val="003A626E"/>
    <w:rsid w:val="003A64D7"/>
    <w:rsid w:val="003A6568"/>
    <w:rsid w:val="003A69F8"/>
    <w:rsid w:val="003A6A5E"/>
    <w:rsid w:val="003B10FE"/>
    <w:rsid w:val="003B1307"/>
    <w:rsid w:val="003B16A1"/>
    <w:rsid w:val="003B1813"/>
    <w:rsid w:val="003B211E"/>
    <w:rsid w:val="003B2AA4"/>
    <w:rsid w:val="003B2B77"/>
    <w:rsid w:val="003B403A"/>
    <w:rsid w:val="003B4488"/>
    <w:rsid w:val="003B44E5"/>
    <w:rsid w:val="003B4FBE"/>
    <w:rsid w:val="003B5D1D"/>
    <w:rsid w:val="003B6938"/>
    <w:rsid w:val="003B6AA1"/>
    <w:rsid w:val="003B6B69"/>
    <w:rsid w:val="003B71F7"/>
    <w:rsid w:val="003B7667"/>
    <w:rsid w:val="003B7FF9"/>
    <w:rsid w:val="003C042B"/>
    <w:rsid w:val="003C111A"/>
    <w:rsid w:val="003C11E9"/>
    <w:rsid w:val="003C1354"/>
    <w:rsid w:val="003C1EB8"/>
    <w:rsid w:val="003C2157"/>
    <w:rsid w:val="003C2675"/>
    <w:rsid w:val="003C26B6"/>
    <w:rsid w:val="003C2FB2"/>
    <w:rsid w:val="003C34A8"/>
    <w:rsid w:val="003C37C9"/>
    <w:rsid w:val="003C39EB"/>
    <w:rsid w:val="003C4920"/>
    <w:rsid w:val="003C54E2"/>
    <w:rsid w:val="003C5758"/>
    <w:rsid w:val="003C58DE"/>
    <w:rsid w:val="003C5B25"/>
    <w:rsid w:val="003C75BE"/>
    <w:rsid w:val="003D0D5E"/>
    <w:rsid w:val="003D1734"/>
    <w:rsid w:val="003D31C0"/>
    <w:rsid w:val="003D3463"/>
    <w:rsid w:val="003D347A"/>
    <w:rsid w:val="003D3AC9"/>
    <w:rsid w:val="003D75FA"/>
    <w:rsid w:val="003D7D01"/>
    <w:rsid w:val="003E127F"/>
    <w:rsid w:val="003E1496"/>
    <w:rsid w:val="003E14E7"/>
    <w:rsid w:val="003E14F9"/>
    <w:rsid w:val="003E157C"/>
    <w:rsid w:val="003E1A6C"/>
    <w:rsid w:val="003E1AFC"/>
    <w:rsid w:val="003E3683"/>
    <w:rsid w:val="003E3772"/>
    <w:rsid w:val="003E4260"/>
    <w:rsid w:val="003E4E76"/>
    <w:rsid w:val="003E52C1"/>
    <w:rsid w:val="003E5E0A"/>
    <w:rsid w:val="003E7183"/>
    <w:rsid w:val="003E7691"/>
    <w:rsid w:val="003E7E21"/>
    <w:rsid w:val="003F0230"/>
    <w:rsid w:val="003F04E4"/>
    <w:rsid w:val="003F0B9C"/>
    <w:rsid w:val="003F1625"/>
    <w:rsid w:val="003F1B36"/>
    <w:rsid w:val="003F1CFF"/>
    <w:rsid w:val="003F1FB2"/>
    <w:rsid w:val="003F283D"/>
    <w:rsid w:val="003F2B05"/>
    <w:rsid w:val="003F3370"/>
    <w:rsid w:val="003F41C4"/>
    <w:rsid w:val="003F55D4"/>
    <w:rsid w:val="003F6AEB"/>
    <w:rsid w:val="003F6BEF"/>
    <w:rsid w:val="003F77AF"/>
    <w:rsid w:val="003F7D6E"/>
    <w:rsid w:val="004008E0"/>
    <w:rsid w:val="004009BA"/>
    <w:rsid w:val="00401A6D"/>
    <w:rsid w:val="00402854"/>
    <w:rsid w:val="00403DD2"/>
    <w:rsid w:val="004045E0"/>
    <w:rsid w:val="0040465C"/>
    <w:rsid w:val="00405A3D"/>
    <w:rsid w:val="00406265"/>
    <w:rsid w:val="004062D7"/>
    <w:rsid w:val="00406872"/>
    <w:rsid w:val="004070A4"/>
    <w:rsid w:val="00410331"/>
    <w:rsid w:val="004108E9"/>
    <w:rsid w:val="0041131B"/>
    <w:rsid w:val="004118DA"/>
    <w:rsid w:val="004118F7"/>
    <w:rsid w:val="0041240C"/>
    <w:rsid w:val="00412BE2"/>
    <w:rsid w:val="00413C1B"/>
    <w:rsid w:val="004158A0"/>
    <w:rsid w:val="0041631D"/>
    <w:rsid w:val="004164D3"/>
    <w:rsid w:val="00416B17"/>
    <w:rsid w:val="00416CDF"/>
    <w:rsid w:val="00417128"/>
    <w:rsid w:val="004172FE"/>
    <w:rsid w:val="00417884"/>
    <w:rsid w:val="004178D1"/>
    <w:rsid w:val="00417F62"/>
    <w:rsid w:val="00420A20"/>
    <w:rsid w:val="00420AFE"/>
    <w:rsid w:val="0042171C"/>
    <w:rsid w:val="0042216B"/>
    <w:rsid w:val="004221E1"/>
    <w:rsid w:val="00422A11"/>
    <w:rsid w:val="00423FB6"/>
    <w:rsid w:val="00424034"/>
    <w:rsid w:val="00424933"/>
    <w:rsid w:val="00424D91"/>
    <w:rsid w:val="00425052"/>
    <w:rsid w:val="00425F0C"/>
    <w:rsid w:val="00425F15"/>
    <w:rsid w:val="004271F0"/>
    <w:rsid w:val="004279F5"/>
    <w:rsid w:val="00427A29"/>
    <w:rsid w:val="0043079B"/>
    <w:rsid w:val="004307AD"/>
    <w:rsid w:val="00430E6F"/>
    <w:rsid w:val="00431060"/>
    <w:rsid w:val="004325C2"/>
    <w:rsid w:val="004334A0"/>
    <w:rsid w:val="004349F7"/>
    <w:rsid w:val="00434A1F"/>
    <w:rsid w:val="004353D8"/>
    <w:rsid w:val="00435B0C"/>
    <w:rsid w:val="0043685B"/>
    <w:rsid w:val="00436C47"/>
    <w:rsid w:val="00437263"/>
    <w:rsid w:val="00437F10"/>
    <w:rsid w:val="0044040E"/>
    <w:rsid w:val="00440A39"/>
    <w:rsid w:val="00440AA1"/>
    <w:rsid w:val="0044119E"/>
    <w:rsid w:val="00441468"/>
    <w:rsid w:val="00442084"/>
    <w:rsid w:val="0044213D"/>
    <w:rsid w:val="0044254F"/>
    <w:rsid w:val="004425C1"/>
    <w:rsid w:val="00442716"/>
    <w:rsid w:val="00443F06"/>
    <w:rsid w:val="00445F45"/>
    <w:rsid w:val="004465B3"/>
    <w:rsid w:val="00446D9E"/>
    <w:rsid w:val="00446F32"/>
    <w:rsid w:val="00447E1A"/>
    <w:rsid w:val="00447FD4"/>
    <w:rsid w:val="004505F8"/>
    <w:rsid w:val="0045063C"/>
    <w:rsid w:val="0045067A"/>
    <w:rsid w:val="004516DE"/>
    <w:rsid w:val="00452096"/>
    <w:rsid w:val="00454088"/>
    <w:rsid w:val="004541D0"/>
    <w:rsid w:val="004547E8"/>
    <w:rsid w:val="00454A66"/>
    <w:rsid w:val="00455135"/>
    <w:rsid w:val="004579E6"/>
    <w:rsid w:val="00457E81"/>
    <w:rsid w:val="004601DB"/>
    <w:rsid w:val="004609AA"/>
    <w:rsid w:val="00460FA7"/>
    <w:rsid w:val="0046196A"/>
    <w:rsid w:val="00461A4A"/>
    <w:rsid w:val="00461A77"/>
    <w:rsid w:val="00462410"/>
    <w:rsid w:val="004624D2"/>
    <w:rsid w:val="0046306A"/>
    <w:rsid w:val="00463C42"/>
    <w:rsid w:val="0046557F"/>
    <w:rsid w:val="00465E79"/>
    <w:rsid w:val="00466599"/>
    <w:rsid w:val="0046706E"/>
    <w:rsid w:val="0046734B"/>
    <w:rsid w:val="0046741E"/>
    <w:rsid w:val="004676EE"/>
    <w:rsid w:val="00467EA7"/>
    <w:rsid w:val="00470269"/>
    <w:rsid w:val="00470556"/>
    <w:rsid w:val="004713DC"/>
    <w:rsid w:val="00471C62"/>
    <w:rsid w:val="00473329"/>
    <w:rsid w:val="00473C3B"/>
    <w:rsid w:val="00474565"/>
    <w:rsid w:val="00474944"/>
    <w:rsid w:val="00474B9C"/>
    <w:rsid w:val="00474BA5"/>
    <w:rsid w:val="00475D82"/>
    <w:rsid w:val="00476EB9"/>
    <w:rsid w:val="00477079"/>
    <w:rsid w:val="004774BA"/>
    <w:rsid w:val="00481557"/>
    <w:rsid w:val="004817C0"/>
    <w:rsid w:val="0048215F"/>
    <w:rsid w:val="0048360A"/>
    <w:rsid w:val="00483D16"/>
    <w:rsid w:val="00484229"/>
    <w:rsid w:val="0048470D"/>
    <w:rsid w:val="00485784"/>
    <w:rsid w:val="0048594B"/>
    <w:rsid w:val="004902D8"/>
    <w:rsid w:val="004910B4"/>
    <w:rsid w:val="00491CFF"/>
    <w:rsid w:val="0049206D"/>
    <w:rsid w:val="0049207D"/>
    <w:rsid w:val="00493309"/>
    <w:rsid w:val="004934A7"/>
    <w:rsid w:val="00493B62"/>
    <w:rsid w:val="00493D1C"/>
    <w:rsid w:val="00494E1B"/>
    <w:rsid w:val="00494EE2"/>
    <w:rsid w:val="00495917"/>
    <w:rsid w:val="004967F7"/>
    <w:rsid w:val="0049689D"/>
    <w:rsid w:val="0049751C"/>
    <w:rsid w:val="00497DBD"/>
    <w:rsid w:val="004A0235"/>
    <w:rsid w:val="004A0BB2"/>
    <w:rsid w:val="004A0F42"/>
    <w:rsid w:val="004A12D7"/>
    <w:rsid w:val="004A1321"/>
    <w:rsid w:val="004A1B71"/>
    <w:rsid w:val="004A1FE6"/>
    <w:rsid w:val="004A2055"/>
    <w:rsid w:val="004A2E0B"/>
    <w:rsid w:val="004A3397"/>
    <w:rsid w:val="004A3F58"/>
    <w:rsid w:val="004A3FB6"/>
    <w:rsid w:val="004A4240"/>
    <w:rsid w:val="004A4961"/>
    <w:rsid w:val="004A56C3"/>
    <w:rsid w:val="004A5AD0"/>
    <w:rsid w:val="004A5C3D"/>
    <w:rsid w:val="004A6183"/>
    <w:rsid w:val="004A694C"/>
    <w:rsid w:val="004A6D82"/>
    <w:rsid w:val="004B055F"/>
    <w:rsid w:val="004B0BC8"/>
    <w:rsid w:val="004B1A79"/>
    <w:rsid w:val="004B1B5F"/>
    <w:rsid w:val="004B2041"/>
    <w:rsid w:val="004B3398"/>
    <w:rsid w:val="004B34FE"/>
    <w:rsid w:val="004B397D"/>
    <w:rsid w:val="004B4919"/>
    <w:rsid w:val="004B4B52"/>
    <w:rsid w:val="004B4C32"/>
    <w:rsid w:val="004B67A8"/>
    <w:rsid w:val="004B69CC"/>
    <w:rsid w:val="004B6ECB"/>
    <w:rsid w:val="004B6EFA"/>
    <w:rsid w:val="004B741D"/>
    <w:rsid w:val="004B77BE"/>
    <w:rsid w:val="004C0BC0"/>
    <w:rsid w:val="004C0F5E"/>
    <w:rsid w:val="004C14BF"/>
    <w:rsid w:val="004C186D"/>
    <w:rsid w:val="004C196B"/>
    <w:rsid w:val="004C2255"/>
    <w:rsid w:val="004C2EEF"/>
    <w:rsid w:val="004C3439"/>
    <w:rsid w:val="004C3B74"/>
    <w:rsid w:val="004C3D0A"/>
    <w:rsid w:val="004C4062"/>
    <w:rsid w:val="004C4B3B"/>
    <w:rsid w:val="004C6157"/>
    <w:rsid w:val="004C6662"/>
    <w:rsid w:val="004C7464"/>
    <w:rsid w:val="004D11A2"/>
    <w:rsid w:val="004D168B"/>
    <w:rsid w:val="004D16B7"/>
    <w:rsid w:val="004D2A9C"/>
    <w:rsid w:val="004D400B"/>
    <w:rsid w:val="004D453A"/>
    <w:rsid w:val="004D46F8"/>
    <w:rsid w:val="004D490F"/>
    <w:rsid w:val="004D6106"/>
    <w:rsid w:val="004D7B23"/>
    <w:rsid w:val="004D7CF8"/>
    <w:rsid w:val="004E0021"/>
    <w:rsid w:val="004E0422"/>
    <w:rsid w:val="004E0AC8"/>
    <w:rsid w:val="004E21FC"/>
    <w:rsid w:val="004E24D1"/>
    <w:rsid w:val="004E2700"/>
    <w:rsid w:val="004E2EA7"/>
    <w:rsid w:val="004E4B23"/>
    <w:rsid w:val="004E4E31"/>
    <w:rsid w:val="004E50BA"/>
    <w:rsid w:val="004E5229"/>
    <w:rsid w:val="004E624B"/>
    <w:rsid w:val="004E75A7"/>
    <w:rsid w:val="004E785C"/>
    <w:rsid w:val="004F00E3"/>
    <w:rsid w:val="004F1C89"/>
    <w:rsid w:val="004F26CB"/>
    <w:rsid w:val="004F2A40"/>
    <w:rsid w:val="004F3092"/>
    <w:rsid w:val="004F3EB9"/>
    <w:rsid w:val="004F3F46"/>
    <w:rsid w:val="004F474D"/>
    <w:rsid w:val="004F47AD"/>
    <w:rsid w:val="004F4930"/>
    <w:rsid w:val="004F6A6E"/>
    <w:rsid w:val="004F7BBB"/>
    <w:rsid w:val="005007BB"/>
    <w:rsid w:val="0050093C"/>
    <w:rsid w:val="00501BAF"/>
    <w:rsid w:val="00502443"/>
    <w:rsid w:val="005024A8"/>
    <w:rsid w:val="005025C7"/>
    <w:rsid w:val="00502E9E"/>
    <w:rsid w:val="00503522"/>
    <w:rsid w:val="0050374A"/>
    <w:rsid w:val="005041B4"/>
    <w:rsid w:val="00504440"/>
    <w:rsid w:val="00504948"/>
    <w:rsid w:val="00506666"/>
    <w:rsid w:val="00507535"/>
    <w:rsid w:val="005076FC"/>
    <w:rsid w:val="00510651"/>
    <w:rsid w:val="00510791"/>
    <w:rsid w:val="00510F89"/>
    <w:rsid w:val="005118E2"/>
    <w:rsid w:val="005124E2"/>
    <w:rsid w:val="005125A3"/>
    <w:rsid w:val="00512DAD"/>
    <w:rsid w:val="005142E5"/>
    <w:rsid w:val="00514ED7"/>
    <w:rsid w:val="005150DD"/>
    <w:rsid w:val="005151D8"/>
    <w:rsid w:val="00515393"/>
    <w:rsid w:val="0051549D"/>
    <w:rsid w:val="00515955"/>
    <w:rsid w:val="00517E19"/>
    <w:rsid w:val="00520036"/>
    <w:rsid w:val="00520BEF"/>
    <w:rsid w:val="00520CE8"/>
    <w:rsid w:val="005216E4"/>
    <w:rsid w:val="005221BB"/>
    <w:rsid w:val="005227FF"/>
    <w:rsid w:val="005234CC"/>
    <w:rsid w:val="0052464B"/>
    <w:rsid w:val="00524891"/>
    <w:rsid w:val="005251CC"/>
    <w:rsid w:val="00526669"/>
    <w:rsid w:val="00526A2B"/>
    <w:rsid w:val="00527BB7"/>
    <w:rsid w:val="005317B5"/>
    <w:rsid w:val="005320A1"/>
    <w:rsid w:val="00532B33"/>
    <w:rsid w:val="005334A8"/>
    <w:rsid w:val="00533A80"/>
    <w:rsid w:val="00534272"/>
    <w:rsid w:val="005344F7"/>
    <w:rsid w:val="005348F2"/>
    <w:rsid w:val="00535059"/>
    <w:rsid w:val="00535A09"/>
    <w:rsid w:val="00535DA5"/>
    <w:rsid w:val="00536E1B"/>
    <w:rsid w:val="00536FCB"/>
    <w:rsid w:val="005413E8"/>
    <w:rsid w:val="005415CF"/>
    <w:rsid w:val="00542387"/>
    <w:rsid w:val="0054261C"/>
    <w:rsid w:val="00542734"/>
    <w:rsid w:val="005431C6"/>
    <w:rsid w:val="0054374C"/>
    <w:rsid w:val="00543E91"/>
    <w:rsid w:val="00544046"/>
    <w:rsid w:val="0054490F"/>
    <w:rsid w:val="005464B0"/>
    <w:rsid w:val="0054685D"/>
    <w:rsid w:val="00546F90"/>
    <w:rsid w:val="0054754B"/>
    <w:rsid w:val="00547A79"/>
    <w:rsid w:val="00547BA8"/>
    <w:rsid w:val="00550115"/>
    <w:rsid w:val="0055053C"/>
    <w:rsid w:val="005510FF"/>
    <w:rsid w:val="0055127C"/>
    <w:rsid w:val="005516A2"/>
    <w:rsid w:val="00551D4A"/>
    <w:rsid w:val="00552CB0"/>
    <w:rsid w:val="00553204"/>
    <w:rsid w:val="005532A1"/>
    <w:rsid w:val="00553374"/>
    <w:rsid w:val="0055339B"/>
    <w:rsid w:val="00553DFF"/>
    <w:rsid w:val="00553F43"/>
    <w:rsid w:val="0055452B"/>
    <w:rsid w:val="00554636"/>
    <w:rsid w:val="00554963"/>
    <w:rsid w:val="00554B72"/>
    <w:rsid w:val="00554EC6"/>
    <w:rsid w:val="00555916"/>
    <w:rsid w:val="00555ED4"/>
    <w:rsid w:val="00556311"/>
    <w:rsid w:val="005568D0"/>
    <w:rsid w:val="00556E16"/>
    <w:rsid w:val="005570F4"/>
    <w:rsid w:val="005575FB"/>
    <w:rsid w:val="00557A0D"/>
    <w:rsid w:val="00557E91"/>
    <w:rsid w:val="00560AD0"/>
    <w:rsid w:val="00561F7B"/>
    <w:rsid w:val="0056288E"/>
    <w:rsid w:val="00562CE9"/>
    <w:rsid w:val="00562D15"/>
    <w:rsid w:val="00562D48"/>
    <w:rsid w:val="00563779"/>
    <w:rsid w:val="005643EE"/>
    <w:rsid w:val="00564749"/>
    <w:rsid w:val="005650D3"/>
    <w:rsid w:val="005655AD"/>
    <w:rsid w:val="00565C64"/>
    <w:rsid w:val="00565DEC"/>
    <w:rsid w:val="005711EC"/>
    <w:rsid w:val="00573BCC"/>
    <w:rsid w:val="00573CAD"/>
    <w:rsid w:val="0057438E"/>
    <w:rsid w:val="00575CF9"/>
    <w:rsid w:val="00575D92"/>
    <w:rsid w:val="005778E4"/>
    <w:rsid w:val="00577B9E"/>
    <w:rsid w:val="005802F3"/>
    <w:rsid w:val="00583CD2"/>
    <w:rsid w:val="00583EC4"/>
    <w:rsid w:val="00583FC2"/>
    <w:rsid w:val="00584107"/>
    <w:rsid w:val="00584286"/>
    <w:rsid w:val="00584541"/>
    <w:rsid w:val="00584984"/>
    <w:rsid w:val="00584BB3"/>
    <w:rsid w:val="00584F97"/>
    <w:rsid w:val="00586C02"/>
    <w:rsid w:val="00587515"/>
    <w:rsid w:val="00587C08"/>
    <w:rsid w:val="00587E52"/>
    <w:rsid w:val="00590DB4"/>
    <w:rsid w:val="00591EA5"/>
    <w:rsid w:val="0059391B"/>
    <w:rsid w:val="005952A2"/>
    <w:rsid w:val="005964F1"/>
    <w:rsid w:val="00596BC0"/>
    <w:rsid w:val="0059734F"/>
    <w:rsid w:val="00597AA0"/>
    <w:rsid w:val="005A0263"/>
    <w:rsid w:val="005A0667"/>
    <w:rsid w:val="005A0819"/>
    <w:rsid w:val="005A0DDA"/>
    <w:rsid w:val="005A118B"/>
    <w:rsid w:val="005A1AF7"/>
    <w:rsid w:val="005A2A20"/>
    <w:rsid w:val="005A2F60"/>
    <w:rsid w:val="005A38B5"/>
    <w:rsid w:val="005A3FFE"/>
    <w:rsid w:val="005A42B6"/>
    <w:rsid w:val="005A543D"/>
    <w:rsid w:val="005A5EE2"/>
    <w:rsid w:val="005A67B8"/>
    <w:rsid w:val="005A6DB5"/>
    <w:rsid w:val="005A7F70"/>
    <w:rsid w:val="005B092A"/>
    <w:rsid w:val="005B0DAA"/>
    <w:rsid w:val="005B222C"/>
    <w:rsid w:val="005B2374"/>
    <w:rsid w:val="005B255E"/>
    <w:rsid w:val="005B25AB"/>
    <w:rsid w:val="005B3089"/>
    <w:rsid w:val="005B624E"/>
    <w:rsid w:val="005B62EC"/>
    <w:rsid w:val="005B65FB"/>
    <w:rsid w:val="005B6698"/>
    <w:rsid w:val="005B6D29"/>
    <w:rsid w:val="005B6E28"/>
    <w:rsid w:val="005B6FED"/>
    <w:rsid w:val="005B70A4"/>
    <w:rsid w:val="005B72A8"/>
    <w:rsid w:val="005B7FAD"/>
    <w:rsid w:val="005C04FE"/>
    <w:rsid w:val="005C1088"/>
    <w:rsid w:val="005C15A7"/>
    <w:rsid w:val="005C1983"/>
    <w:rsid w:val="005C2C47"/>
    <w:rsid w:val="005C3309"/>
    <w:rsid w:val="005C3891"/>
    <w:rsid w:val="005C413B"/>
    <w:rsid w:val="005C4AC7"/>
    <w:rsid w:val="005C4ADA"/>
    <w:rsid w:val="005C4DA5"/>
    <w:rsid w:val="005C5290"/>
    <w:rsid w:val="005C5AA0"/>
    <w:rsid w:val="005C637E"/>
    <w:rsid w:val="005C67C0"/>
    <w:rsid w:val="005C77F5"/>
    <w:rsid w:val="005C7F66"/>
    <w:rsid w:val="005D006F"/>
    <w:rsid w:val="005D0308"/>
    <w:rsid w:val="005D03DC"/>
    <w:rsid w:val="005D204A"/>
    <w:rsid w:val="005D2702"/>
    <w:rsid w:val="005D45BA"/>
    <w:rsid w:val="005D4839"/>
    <w:rsid w:val="005D5F7E"/>
    <w:rsid w:val="005D73E5"/>
    <w:rsid w:val="005D7538"/>
    <w:rsid w:val="005D7F36"/>
    <w:rsid w:val="005E116E"/>
    <w:rsid w:val="005E1736"/>
    <w:rsid w:val="005E3910"/>
    <w:rsid w:val="005E3CB7"/>
    <w:rsid w:val="005E4667"/>
    <w:rsid w:val="005E4977"/>
    <w:rsid w:val="005E5A12"/>
    <w:rsid w:val="005E6728"/>
    <w:rsid w:val="005E672E"/>
    <w:rsid w:val="005E72CC"/>
    <w:rsid w:val="005E7929"/>
    <w:rsid w:val="005F04FA"/>
    <w:rsid w:val="005F1664"/>
    <w:rsid w:val="005F18D9"/>
    <w:rsid w:val="005F2164"/>
    <w:rsid w:val="005F2BED"/>
    <w:rsid w:val="005F2DB5"/>
    <w:rsid w:val="005F31E1"/>
    <w:rsid w:val="005F36EA"/>
    <w:rsid w:val="005F38C8"/>
    <w:rsid w:val="005F4F1D"/>
    <w:rsid w:val="005F5780"/>
    <w:rsid w:val="005F5FF3"/>
    <w:rsid w:val="005F609C"/>
    <w:rsid w:val="005F682D"/>
    <w:rsid w:val="005F7B8B"/>
    <w:rsid w:val="0060018C"/>
    <w:rsid w:val="00600311"/>
    <w:rsid w:val="00600A38"/>
    <w:rsid w:val="00600A60"/>
    <w:rsid w:val="00600FAC"/>
    <w:rsid w:val="00602E8D"/>
    <w:rsid w:val="0060489B"/>
    <w:rsid w:val="006055E1"/>
    <w:rsid w:val="006057F6"/>
    <w:rsid w:val="0060685C"/>
    <w:rsid w:val="00606DF5"/>
    <w:rsid w:val="0060724D"/>
    <w:rsid w:val="006072AA"/>
    <w:rsid w:val="006104ED"/>
    <w:rsid w:val="00611520"/>
    <w:rsid w:val="00612844"/>
    <w:rsid w:val="00612A45"/>
    <w:rsid w:val="00612CC8"/>
    <w:rsid w:val="00613312"/>
    <w:rsid w:val="00614D00"/>
    <w:rsid w:val="00614D2F"/>
    <w:rsid w:val="0061522F"/>
    <w:rsid w:val="00615405"/>
    <w:rsid w:val="0061585D"/>
    <w:rsid w:val="00615AD8"/>
    <w:rsid w:val="00617989"/>
    <w:rsid w:val="00617AF9"/>
    <w:rsid w:val="00620006"/>
    <w:rsid w:val="006208D9"/>
    <w:rsid w:val="0062199B"/>
    <w:rsid w:val="00621B8F"/>
    <w:rsid w:val="0062209A"/>
    <w:rsid w:val="0062215F"/>
    <w:rsid w:val="00622F96"/>
    <w:rsid w:val="00624053"/>
    <w:rsid w:val="00624519"/>
    <w:rsid w:val="00624727"/>
    <w:rsid w:val="00624FF8"/>
    <w:rsid w:val="0062576E"/>
    <w:rsid w:val="006257AB"/>
    <w:rsid w:val="006265BF"/>
    <w:rsid w:val="0062749B"/>
    <w:rsid w:val="00630787"/>
    <w:rsid w:val="00631427"/>
    <w:rsid w:val="00631FA3"/>
    <w:rsid w:val="0063278D"/>
    <w:rsid w:val="00632D05"/>
    <w:rsid w:val="00632D14"/>
    <w:rsid w:val="00632E92"/>
    <w:rsid w:val="006332A9"/>
    <w:rsid w:val="00633EF7"/>
    <w:rsid w:val="0063451E"/>
    <w:rsid w:val="0063460E"/>
    <w:rsid w:val="00634B18"/>
    <w:rsid w:val="00635E11"/>
    <w:rsid w:val="00637062"/>
    <w:rsid w:val="00637157"/>
    <w:rsid w:val="00637626"/>
    <w:rsid w:val="006376FD"/>
    <w:rsid w:val="00640219"/>
    <w:rsid w:val="00640718"/>
    <w:rsid w:val="00643C89"/>
    <w:rsid w:val="00644250"/>
    <w:rsid w:val="006453F3"/>
    <w:rsid w:val="006453F8"/>
    <w:rsid w:val="00645569"/>
    <w:rsid w:val="006459EA"/>
    <w:rsid w:val="00645AD1"/>
    <w:rsid w:val="00645E75"/>
    <w:rsid w:val="00646272"/>
    <w:rsid w:val="00646D28"/>
    <w:rsid w:val="0064727A"/>
    <w:rsid w:val="00650419"/>
    <w:rsid w:val="0065054E"/>
    <w:rsid w:val="00651019"/>
    <w:rsid w:val="006522FB"/>
    <w:rsid w:val="0065243B"/>
    <w:rsid w:val="006531EB"/>
    <w:rsid w:val="00653428"/>
    <w:rsid w:val="006539CD"/>
    <w:rsid w:val="0065447A"/>
    <w:rsid w:val="00654529"/>
    <w:rsid w:val="006546A0"/>
    <w:rsid w:val="00654FCC"/>
    <w:rsid w:val="00655BB3"/>
    <w:rsid w:val="006571E3"/>
    <w:rsid w:val="006578F4"/>
    <w:rsid w:val="006578F7"/>
    <w:rsid w:val="00657D29"/>
    <w:rsid w:val="00662144"/>
    <w:rsid w:val="00662714"/>
    <w:rsid w:val="006628B0"/>
    <w:rsid w:val="00662904"/>
    <w:rsid w:val="00662F85"/>
    <w:rsid w:val="006641D4"/>
    <w:rsid w:val="00670BA2"/>
    <w:rsid w:val="00670BBC"/>
    <w:rsid w:val="00670C48"/>
    <w:rsid w:val="00670C5E"/>
    <w:rsid w:val="00671646"/>
    <w:rsid w:val="00672C35"/>
    <w:rsid w:val="00672C68"/>
    <w:rsid w:val="00672E16"/>
    <w:rsid w:val="0067369B"/>
    <w:rsid w:val="00673F06"/>
    <w:rsid w:val="0067500C"/>
    <w:rsid w:val="00675E1B"/>
    <w:rsid w:val="00676017"/>
    <w:rsid w:val="00676588"/>
    <w:rsid w:val="00676973"/>
    <w:rsid w:val="00676E66"/>
    <w:rsid w:val="0067733A"/>
    <w:rsid w:val="0067761B"/>
    <w:rsid w:val="00677A75"/>
    <w:rsid w:val="00677B3D"/>
    <w:rsid w:val="00680BE6"/>
    <w:rsid w:val="00681507"/>
    <w:rsid w:val="00681656"/>
    <w:rsid w:val="006826EB"/>
    <w:rsid w:val="00682CC7"/>
    <w:rsid w:val="006837FC"/>
    <w:rsid w:val="00683CB7"/>
    <w:rsid w:val="00684F13"/>
    <w:rsid w:val="0068564E"/>
    <w:rsid w:val="00685662"/>
    <w:rsid w:val="006857E9"/>
    <w:rsid w:val="00685AC8"/>
    <w:rsid w:val="00686663"/>
    <w:rsid w:val="006868C1"/>
    <w:rsid w:val="006872B3"/>
    <w:rsid w:val="0068737C"/>
    <w:rsid w:val="00690D79"/>
    <w:rsid w:val="00691C6C"/>
    <w:rsid w:val="00691FE2"/>
    <w:rsid w:val="006927E7"/>
    <w:rsid w:val="0069371F"/>
    <w:rsid w:val="00694866"/>
    <w:rsid w:val="00695354"/>
    <w:rsid w:val="006955E5"/>
    <w:rsid w:val="00695BEA"/>
    <w:rsid w:val="00695D2F"/>
    <w:rsid w:val="0069602B"/>
    <w:rsid w:val="0069616E"/>
    <w:rsid w:val="00696184"/>
    <w:rsid w:val="006968D7"/>
    <w:rsid w:val="00697197"/>
    <w:rsid w:val="006972C5"/>
    <w:rsid w:val="00697F37"/>
    <w:rsid w:val="006A0E4E"/>
    <w:rsid w:val="006A1373"/>
    <w:rsid w:val="006A1B4C"/>
    <w:rsid w:val="006A1B86"/>
    <w:rsid w:val="006A5493"/>
    <w:rsid w:val="006A6FE1"/>
    <w:rsid w:val="006B0DBF"/>
    <w:rsid w:val="006B1B8C"/>
    <w:rsid w:val="006B1DDD"/>
    <w:rsid w:val="006B2218"/>
    <w:rsid w:val="006B2462"/>
    <w:rsid w:val="006B26FA"/>
    <w:rsid w:val="006B3397"/>
    <w:rsid w:val="006B346F"/>
    <w:rsid w:val="006B3AF3"/>
    <w:rsid w:val="006B4E75"/>
    <w:rsid w:val="006B5271"/>
    <w:rsid w:val="006B5FF9"/>
    <w:rsid w:val="006B66FE"/>
    <w:rsid w:val="006B68CC"/>
    <w:rsid w:val="006C0689"/>
    <w:rsid w:val="006C0E24"/>
    <w:rsid w:val="006C1953"/>
    <w:rsid w:val="006C1F62"/>
    <w:rsid w:val="006C2F3F"/>
    <w:rsid w:val="006C3293"/>
    <w:rsid w:val="006C3B55"/>
    <w:rsid w:val="006C4A62"/>
    <w:rsid w:val="006C52C8"/>
    <w:rsid w:val="006C5567"/>
    <w:rsid w:val="006C5661"/>
    <w:rsid w:val="006C58CD"/>
    <w:rsid w:val="006C7B78"/>
    <w:rsid w:val="006D00E6"/>
    <w:rsid w:val="006D0129"/>
    <w:rsid w:val="006D179C"/>
    <w:rsid w:val="006D22C5"/>
    <w:rsid w:val="006D234A"/>
    <w:rsid w:val="006D2C3B"/>
    <w:rsid w:val="006D590E"/>
    <w:rsid w:val="006D5E80"/>
    <w:rsid w:val="006D5FB0"/>
    <w:rsid w:val="006D6A98"/>
    <w:rsid w:val="006D6C88"/>
    <w:rsid w:val="006D711C"/>
    <w:rsid w:val="006D747B"/>
    <w:rsid w:val="006E01B2"/>
    <w:rsid w:val="006E02B0"/>
    <w:rsid w:val="006E050B"/>
    <w:rsid w:val="006E0867"/>
    <w:rsid w:val="006E2486"/>
    <w:rsid w:val="006E26E9"/>
    <w:rsid w:val="006E28C5"/>
    <w:rsid w:val="006E2A34"/>
    <w:rsid w:val="006E2DB4"/>
    <w:rsid w:val="006E43B8"/>
    <w:rsid w:val="006E49A1"/>
    <w:rsid w:val="006E4AB1"/>
    <w:rsid w:val="006E60C5"/>
    <w:rsid w:val="006E613C"/>
    <w:rsid w:val="006E6C47"/>
    <w:rsid w:val="006E6F4A"/>
    <w:rsid w:val="006E71B9"/>
    <w:rsid w:val="006F0323"/>
    <w:rsid w:val="006F0462"/>
    <w:rsid w:val="006F0586"/>
    <w:rsid w:val="006F14D3"/>
    <w:rsid w:val="006F1DB4"/>
    <w:rsid w:val="006F2340"/>
    <w:rsid w:val="006F23AE"/>
    <w:rsid w:val="006F3564"/>
    <w:rsid w:val="006F3AF6"/>
    <w:rsid w:val="006F3F3D"/>
    <w:rsid w:val="006F449F"/>
    <w:rsid w:val="006F5142"/>
    <w:rsid w:val="006F5354"/>
    <w:rsid w:val="006F59F7"/>
    <w:rsid w:val="006F5A64"/>
    <w:rsid w:val="006F7E3F"/>
    <w:rsid w:val="006F7F65"/>
    <w:rsid w:val="0070165B"/>
    <w:rsid w:val="0070173A"/>
    <w:rsid w:val="007017A5"/>
    <w:rsid w:val="00701B49"/>
    <w:rsid w:val="00701DA9"/>
    <w:rsid w:val="007022CF"/>
    <w:rsid w:val="00702515"/>
    <w:rsid w:val="00702A84"/>
    <w:rsid w:val="00703BE4"/>
    <w:rsid w:val="00703C2C"/>
    <w:rsid w:val="00703ED0"/>
    <w:rsid w:val="00704FD5"/>
    <w:rsid w:val="007053BD"/>
    <w:rsid w:val="00705858"/>
    <w:rsid w:val="007058ED"/>
    <w:rsid w:val="00705DE2"/>
    <w:rsid w:val="0070612A"/>
    <w:rsid w:val="00706C6D"/>
    <w:rsid w:val="00706C80"/>
    <w:rsid w:val="007070ED"/>
    <w:rsid w:val="00707A0A"/>
    <w:rsid w:val="00707B4F"/>
    <w:rsid w:val="00711456"/>
    <w:rsid w:val="007116B4"/>
    <w:rsid w:val="007123FB"/>
    <w:rsid w:val="007128D4"/>
    <w:rsid w:val="00712D7E"/>
    <w:rsid w:val="00713400"/>
    <w:rsid w:val="00713EEA"/>
    <w:rsid w:val="00714062"/>
    <w:rsid w:val="007145BC"/>
    <w:rsid w:val="00716343"/>
    <w:rsid w:val="00716423"/>
    <w:rsid w:val="007173BA"/>
    <w:rsid w:val="007175E6"/>
    <w:rsid w:val="00717ABC"/>
    <w:rsid w:val="00722268"/>
    <w:rsid w:val="00722295"/>
    <w:rsid w:val="00722388"/>
    <w:rsid w:val="00722A57"/>
    <w:rsid w:val="0072332F"/>
    <w:rsid w:val="00723D7E"/>
    <w:rsid w:val="00723FE9"/>
    <w:rsid w:val="007244B5"/>
    <w:rsid w:val="00724585"/>
    <w:rsid w:val="00724589"/>
    <w:rsid w:val="0072535F"/>
    <w:rsid w:val="0072622E"/>
    <w:rsid w:val="00730222"/>
    <w:rsid w:val="00730525"/>
    <w:rsid w:val="0073099E"/>
    <w:rsid w:val="007311C9"/>
    <w:rsid w:val="007314C5"/>
    <w:rsid w:val="00731A73"/>
    <w:rsid w:val="00731B56"/>
    <w:rsid w:val="00731C6F"/>
    <w:rsid w:val="00732DE9"/>
    <w:rsid w:val="00732E5F"/>
    <w:rsid w:val="007335E1"/>
    <w:rsid w:val="007342B4"/>
    <w:rsid w:val="00734CDF"/>
    <w:rsid w:val="00735076"/>
    <w:rsid w:val="00736905"/>
    <w:rsid w:val="00736CA4"/>
    <w:rsid w:val="0073713A"/>
    <w:rsid w:val="0073744B"/>
    <w:rsid w:val="007402EA"/>
    <w:rsid w:val="007402F4"/>
    <w:rsid w:val="00740C56"/>
    <w:rsid w:val="007414F3"/>
    <w:rsid w:val="00741B60"/>
    <w:rsid w:val="00741B95"/>
    <w:rsid w:val="00742445"/>
    <w:rsid w:val="00744059"/>
    <w:rsid w:val="0074419B"/>
    <w:rsid w:val="007444A7"/>
    <w:rsid w:val="0074503D"/>
    <w:rsid w:val="00745244"/>
    <w:rsid w:val="0074525B"/>
    <w:rsid w:val="007454AA"/>
    <w:rsid w:val="00745553"/>
    <w:rsid w:val="00746F92"/>
    <w:rsid w:val="007476DA"/>
    <w:rsid w:val="007507D8"/>
    <w:rsid w:val="00750EB1"/>
    <w:rsid w:val="007519CD"/>
    <w:rsid w:val="00752B87"/>
    <w:rsid w:val="00754A4D"/>
    <w:rsid w:val="00755733"/>
    <w:rsid w:val="00755A45"/>
    <w:rsid w:val="00755E83"/>
    <w:rsid w:val="0075642C"/>
    <w:rsid w:val="00756BF1"/>
    <w:rsid w:val="00756D20"/>
    <w:rsid w:val="00757F82"/>
    <w:rsid w:val="00760252"/>
    <w:rsid w:val="0076027E"/>
    <w:rsid w:val="007604D3"/>
    <w:rsid w:val="00760766"/>
    <w:rsid w:val="00760AB8"/>
    <w:rsid w:val="00761EE4"/>
    <w:rsid w:val="00762315"/>
    <w:rsid w:val="0076273B"/>
    <w:rsid w:val="00762FE9"/>
    <w:rsid w:val="007635C9"/>
    <w:rsid w:val="00763BB1"/>
    <w:rsid w:val="007644F4"/>
    <w:rsid w:val="00764DC5"/>
    <w:rsid w:val="00764FCF"/>
    <w:rsid w:val="0076508F"/>
    <w:rsid w:val="00765329"/>
    <w:rsid w:val="00765753"/>
    <w:rsid w:val="00765E60"/>
    <w:rsid w:val="00766048"/>
    <w:rsid w:val="007663CF"/>
    <w:rsid w:val="00766664"/>
    <w:rsid w:val="00766B23"/>
    <w:rsid w:val="00766BF4"/>
    <w:rsid w:val="00766CF9"/>
    <w:rsid w:val="00771542"/>
    <w:rsid w:val="00771598"/>
    <w:rsid w:val="00771C20"/>
    <w:rsid w:val="0077350F"/>
    <w:rsid w:val="007738A5"/>
    <w:rsid w:val="00773BE6"/>
    <w:rsid w:val="007742EC"/>
    <w:rsid w:val="007743CF"/>
    <w:rsid w:val="007745AF"/>
    <w:rsid w:val="0077473B"/>
    <w:rsid w:val="00774D8D"/>
    <w:rsid w:val="007755FA"/>
    <w:rsid w:val="00776402"/>
    <w:rsid w:val="007804CD"/>
    <w:rsid w:val="007808A2"/>
    <w:rsid w:val="00781139"/>
    <w:rsid w:val="00781C91"/>
    <w:rsid w:val="00781F0E"/>
    <w:rsid w:val="00782B22"/>
    <w:rsid w:val="00782D0B"/>
    <w:rsid w:val="00783B19"/>
    <w:rsid w:val="007844FE"/>
    <w:rsid w:val="007845A2"/>
    <w:rsid w:val="007863EF"/>
    <w:rsid w:val="00786468"/>
    <w:rsid w:val="00786B4E"/>
    <w:rsid w:val="00787B81"/>
    <w:rsid w:val="007907B7"/>
    <w:rsid w:val="00791960"/>
    <w:rsid w:val="00791D05"/>
    <w:rsid w:val="007923AB"/>
    <w:rsid w:val="00792B40"/>
    <w:rsid w:val="00793CA5"/>
    <w:rsid w:val="00793EB0"/>
    <w:rsid w:val="00793FBA"/>
    <w:rsid w:val="0079402A"/>
    <w:rsid w:val="007945E1"/>
    <w:rsid w:val="00794C33"/>
    <w:rsid w:val="00794CE2"/>
    <w:rsid w:val="00794EF5"/>
    <w:rsid w:val="00794FD5"/>
    <w:rsid w:val="007951EF"/>
    <w:rsid w:val="00795BAC"/>
    <w:rsid w:val="00795D7C"/>
    <w:rsid w:val="007963CD"/>
    <w:rsid w:val="00796FB6"/>
    <w:rsid w:val="007977D2"/>
    <w:rsid w:val="007A215B"/>
    <w:rsid w:val="007A27BA"/>
    <w:rsid w:val="007A29A9"/>
    <w:rsid w:val="007A2C63"/>
    <w:rsid w:val="007A2D8A"/>
    <w:rsid w:val="007A2E5B"/>
    <w:rsid w:val="007A3A83"/>
    <w:rsid w:val="007A4433"/>
    <w:rsid w:val="007A4A11"/>
    <w:rsid w:val="007A4CA8"/>
    <w:rsid w:val="007A56BD"/>
    <w:rsid w:val="007A5804"/>
    <w:rsid w:val="007A5A6A"/>
    <w:rsid w:val="007A5A8E"/>
    <w:rsid w:val="007A5EC5"/>
    <w:rsid w:val="007A6A99"/>
    <w:rsid w:val="007B08EA"/>
    <w:rsid w:val="007B1659"/>
    <w:rsid w:val="007B18F5"/>
    <w:rsid w:val="007B1E78"/>
    <w:rsid w:val="007B27B8"/>
    <w:rsid w:val="007B28CA"/>
    <w:rsid w:val="007B49AC"/>
    <w:rsid w:val="007B4EAE"/>
    <w:rsid w:val="007B5FA6"/>
    <w:rsid w:val="007B6C78"/>
    <w:rsid w:val="007B77AA"/>
    <w:rsid w:val="007B7D52"/>
    <w:rsid w:val="007B7FDE"/>
    <w:rsid w:val="007C039C"/>
    <w:rsid w:val="007C0C52"/>
    <w:rsid w:val="007C0D3B"/>
    <w:rsid w:val="007C19C1"/>
    <w:rsid w:val="007C1BE4"/>
    <w:rsid w:val="007C1BF8"/>
    <w:rsid w:val="007C1C7C"/>
    <w:rsid w:val="007C25FF"/>
    <w:rsid w:val="007C31A6"/>
    <w:rsid w:val="007C337D"/>
    <w:rsid w:val="007C346C"/>
    <w:rsid w:val="007C3696"/>
    <w:rsid w:val="007C5A1C"/>
    <w:rsid w:val="007C5DE4"/>
    <w:rsid w:val="007C60A2"/>
    <w:rsid w:val="007C7038"/>
    <w:rsid w:val="007C7825"/>
    <w:rsid w:val="007C7BF5"/>
    <w:rsid w:val="007D00C5"/>
    <w:rsid w:val="007D030A"/>
    <w:rsid w:val="007D0560"/>
    <w:rsid w:val="007D0910"/>
    <w:rsid w:val="007D10AE"/>
    <w:rsid w:val="007D148C"/>
    <w:rsid w:val="007D166A"/>
    <w:rsid w:val="007D2A5E"/>
    <w:rsid w:val="007D3157"/>
    <w:rsid w:val="007D37DA"/>
    <w:rsid w:val="007D3F39"/>
    <w:rsid w:val="007D3FB9"/>
    <w:rsid w:val="007D4A8E"/>
    <w:rsid w:val="007D4F54"/>
    <w:rsid w:val="007D5FCE"/>
    <w:rsid w:val="007D6BB9"/>
    <w:rsid w:val="007E065B"/>
    <w:rsid w:val="007E0B97"/>
    <w:rsid w:val="007E0B9B"/>
    <w:rsid w:val="007E0E82"/>
    <w:rsid w:val="007E174E"/>
    <w:rsid w:val="007E32AD"/>
    <w:rsid w:val="007E4AB5"/>
    <w:rsid w:val="007E4D4D"/>
    <w:rsid w:val="007E5DE1"/>
    <w:rsid w:val="007E5E24"/>
    <w:rsid w:val="007E6437"/>
    <w:rsid w:val="007E677B"/>
    <w:rsid w:val="007E751D"/>
    <w:rsid w:val="007E7869"/>
    <w:rsid w:val="007E7B9A"/>
    <w:rsid w:val="007F0604"/>
    <w:rsid w:val="007F0908"/>
    <w:rsid w:val="007F0CE5"/>
    <w:rsid w:val="007F11A1"/>
    <w:rsid w:val="007F1ADA"/>
    <w:rsid w:val="007F1D02"/>
    <w:rsid w:val="007F24D8"/>
    <w:rsid w:val="007F32C1"/>
    <w:rsid w:val="007F3435"/>
    <w:rsid w:val="007F36DE"/>
    <w:rsid w:val="007F559C"/>
    <w:rsid w:val="007F6896"/>
    <w:rsid w:val="007F7190"/>
    <w:rsid w:val="007F7C52"/>
    <w:rsid w:val="00800245"/>
    <w:rsid w:val="00800526"/>
    <w:rsid w:val="00800992"/>
    <w:rsid w:val="00801338"/>
    <w:rsid w:val="00801A03"/>
    <w:rsid w:val="00801AE7"/>
    <w:rsid w:val="008022BC"/>
    <w:rsid w:val="00802FA7"/>
    <w:rsid w:val="00803282"/>
    <w:rsid w:val="008033A4"/>
    <w:rsid w:val="0080402B"/>
    <w:rsid w:val="008044EF"/>
    <w:rsid w:val="00805818"/>
    <w:rsid w:val="00807345"/>
    <w:rsid w:val="00807C38"/>
    <w:rsid w:val="008101C8"/>
    <w:rsid w:val="00810699"/>
    <w:rsid w:val="00810DA7"/>
    <w:rsid w:val="00811BEB"/>
    <w:rsid w:val="00811CA2"/>
    <w:rsid w:val="00812DAC"/>
    <w:rsid w:val="00812E4B"/>
    <w:rsid w:val="00812FF4"/>
    <w:rsid w:val="00813C43"/>
    <w:rsid w:val="0081477F"/>
    <w:rsid w:val="008153C3"/>
    <w:rsid w:val="00816F40"/>
    <w:rsid w:val="00817936"/>
    <w:rsid w:val="00820231"/>
    <w:rsid w:val="008206D7"/>
    <w:rsid w:val="00821BB3"/>
    <w:rsid w:val="00824A0E"/>
    <w:rsid w:val="00824AA6"/>
    <w:rsid w:val="00825038"/>
    <w:rsid w:val="0082511B"/>
    <w:rsid w:val="008275B0"/>
    <w:rsid w:val="00827707"/>
    <w:rsid w:val="00830A18"/>
    <w:rsid w:val="00830E18"/>
    <w:rsid w:val="00830FC8"/>
    <w:rsid w:val="00831074"/>
    <w:rsid w:val="0083189A"/>
    <w:rsid w:val="0083327B"/>
    <w:rsid w:val="00834811"/>
    <w:rsid w:val="00834A6D"/>
    <w:rsid w:val="00834F71"/>
    <w:rsid w:val="008351A3"/>
    <w:rsid w:val="008359C7"/>
    <w:rsid w:val="00835C43"/>
    <w:rsid w:val="008363E2"/>
    <w:rsid w:val="0083664F"/>
    <w:rsid w:val="00836F62"/>
    <w:rsid w:val="00837A83"/>
    <w:rsid w:val="008400C9"/>
    <w:rsid w:val="00840646"/>
    <w:rsid w:val="00842D5E"/>
    <w:rsid w:val="00842F15"/>
    <w:rsid w:val="008433CF"/>
    <w:rsid w:val="00845178"/>
    <w:rsid w:val="008458CC"/>
    <w:rsid w:val="00845A5F"/>
    <w:rsid w:val="00845B82"/>
    <w:rsid w:val="00846979"/>
    <w:rsid w:val="00846D99"/>
    <w:rsid w:val="00847004"/>
    <w:rsid w:val="00847913"/>
    <w:rsid w:val="00850182"/>
    <w:rsid w:val="0085034B"/>
    <w:rsid w:val="0085184F"/>
    <w:rsid w:val="008518C4"/>
    <w:rsid w:val="0085230B"/>
    <w:rsid w:val="00852348"/>
    <w:rsid w:val="0085318C"/>
    <w:rsid w:val="008532FE"/>
    <w:rsid w:val="008535C2"/>
    <w:rsid w:val="00854485"/>
    <w:rsid w:val="008549F8"/>
    <w:rsid w:val="00855E85"/>
    <w:rsid w:val="00855F55"/>
    <w:rsid w:val="0085660B"/>
    <w:rsid w:val="0085790C"/>
    <w:rsid w:val="0086006E"/>
    <w:rsid w:val="00860491"/>
    <w:rsid w:val="00860D1A"/>
    <w:rsid w:val="00860D82"/>
    <w:rsid w:val="00860F01"/>
    <w:rsid w:val="008611A0"/>
    <w:rsid w:val="00861294"/>
    <w:rsid w:val="0086141C"/>
    <w:rsid w:val="008619DA"/>
    <w:rsid w:val="00862AD5"/>
    <w:rsid w:val="00863A73"/>
    <w:rsid w:val="00864E38"/>
    <w:rsid w:val="008657B3"/>
    <w:rsid w:val="00865CC5"/>
    <w:rsid w:val="00865FBF"/>
    <w:rsid w:val="008661A1"/>
    <w:rsid w:val="008667FE"/>
    <w:rsid w:val="00866A6B"/>
    <w:rsid w:val="00866B16"/>
    <w:rsid w:val="0086706B"/>
    <w:rsid w:val="00867872"/>
    <w:rsid w:val="00870E19"/>
    <w:rsid w:val="00871402"/>
    <w:rsid w:val="00871806"/>
    <w:rsid w:val="00873845"/>
    <w:rsid w:val="00873BD1"/>
    <w:rsid w:val="00873CA9"/>
    <w:rsid w:val="00873E67"/>
    <w:rsid w:val="00875919"/>
    <w:rsid w:val="008761B9"/>
    <w:rsid w:val="0087671F"/>
    <w:rsid w:val="00877174"/>
    <w:rsid w:val="008778A5"/>
    <w:rsid w:val="008800C9"/>
    <w:rsid w:val="00880CBC"/>
    <w:rsid w:val="00881D7E"/>
    <w:rsid w:val="00882325"/>
    <w:rsid w:val="00883777"/>
    <w:rsid w:val="00884371"/>
    <w:rsid w:val="0088501E"/>
    <w:rsid w:val="00885127"/>
    <w:rsid w:val="00885656"/>
    <w:rsid w:val="008856BB"/>
    <w:rsid w:val="00885B9B"/>
    <w:rsid w:val="00886961"/>
    <w:rsid w:val="00886A19"/>
    <w:rsid w:val="00887481"/>
    <w:rsid w:val="00887ACB"/>
    <w:rsid w:val="00887E49"/>
    <w:rsid w:val="00890757"/>
    <w:rsid w:val="00890BC2"/>
    <w:rsid w:val="0089169C"/>
    <w:rsid w:val="00891BEC"/>
    <w:rsid w:val="00892A25"/>
    <w:rsid w:val="00892F95"/>
    <w:rsid w:val="0089318F"/>
    <w:rsid w:val="008933B2"/>
    <w:rsid w:val="0089346A"/>
    <w:rsid w:val="00894485"/>
    <w:rsid w:val="008944AD"/>
    <w:rsid w:val="00894520"/>
    <w:rsid w:val="008957B0"/>
    <w:rsid w:val="00895EB0"/>
    <w:rsid w:val="00897398"/>
    <w:rsid w:val="00897EA8"/>
    <w:rsid w:val="008A0399"/>
    <w:rsid w:val="008A0777"/>
    <w:rsid w:val="008A0BF4"/>
    <w:rsid w:val="008A1540"/>
    <w:rsid w:val="008A17F5"/>
    <w:rsid w:val="008A1E78"/>
    <w:rsid w:val="008A402C"/>
    <w:rsid w:val="008A45E8"/>
    <w:rsid w:val="008A5AF3"/>
    <w:rsid w:val="008A6538"/>
    <w:rsid w:val="008A69D1"/>
    <w:rsid w:val="008A6FD8"/>
    <w:rsid w:val="008A75F3"/>
    <w:rsid w:val="008B0094"/>
    <w:rsid w:val="008B0F34"/>
    <w:rsid w:val="008B1737"/>
    <w:rsid w:val="008B2033"/>
    <w:rsid w:val="008B2701"/>
    <w:rsid w:val="008B2E70"/>
    <w:rsid w:val="008B4B9B"/>
    <w:rsid w:val="008B54E7"/>
    <w:rsid w:val="008B556C"/>
    <w:rsid w:val="008B5F75"/>
    <w:rsid w:val="008B6136"/>
    <w:rsid w:val="008B6BA7"/>
    <w:rsid w:val="008B6CD1"/>
    <w:rsid w:val="008C067C"/>
    <w:rsid w:val="008C3063"/>
    <w:rsid w:val="008C3FD9"/>
    <w:rsid w:val="008C4DEA"/>
    <w:rsid w:val="008C4E81"/>
    <w:rsid w:val="008C54AB"/>
    <w:rsid w:val="008C7F4D"/>
    <w:rsid w:val="008D029D"/>
    <w:rsid w:val="008D0B29"/>
    <w:rsid w:val="008D1F98"/>
    <w:rsid w:val="008D267D"/>
    <w:rsid w:val="008D3C95"/>
    <w:rsid w:val="008D50B6"/>
    <w:rsid w:val="008D517F"/>
    <w:rsid w:val="008D6725"/>
    <w:rsid w:val="008D6B79"/>
    <w:rsid w:val="008D6D28"/>
    <w:rsid w:val="008D6ECF"/>
    <w:rsid w:val="008E07E6"/>
    <w:rsid w:val="008E1CFC"/>
    <w:rsid w:val="008E255F"/>
    <w:rsid w:val="008E2A2A"/>
    <w:rsid w:val="008E2AB0"/>
    <w:rsid w:val="008E35F6"/>
    <w:rsid w:val="008E3B48"/>
    <w:rsid w:val="008E41DA"/>
    <w:rsid w:val="008E5E06"/>
    <w:rsid w:val="008E6489"/>
    <w:rsid w:val="008E678F"/>
    <w:rsid w:val="008E7C91"/>
    <w:rsid w:val="008E7FEE"/>
    <w:rsid w:val="008F0009"/>
    <w:rsid w:val="008F03DA"/>
    <w:rsid w:val="008F05DC"/>
    <w:rsid w:val="008F0BD9"/>
    <w:rsid w:val="008F0C4D"/>
    <w:rsid w:val="008F0E23"/>
    <w:rsid w:val="008F0F48"/>
    <w:rsid w:val="008F150F"/>
    <w:rsid w:val="008F2C29"/>
    <w:rsid w:val="008F3978"/>
    <w:rsid w:val="008F47FB"/>
    <w:rsid w:val="008F4942"/>
    <w:rsid w:val="008F4A17"/>
    <w:rsid w:val="008F591A"/>
    <w:rsid w:val="008F6198"/>
    <w:rsid w:val="008F723A"/>
    <w:rsid w:val="008F72DB"/>
    <w:rsid w:val="009003E8"/>
    <w:rsid w:val="009005F6"/>
    <w:rsid w:val="00900653"/>
    <w:rsid w:val="00900ED1"/>
    <w:rsid w:val="0090151D"/>
    <w:rsid w:val="00901AB5"/>
    <w:rsid w:val="0090292A"/>
    <w:rsid w:val="0090534C"/>
    <w:rsid w:val="009064B5"/>
    <w:rsid w:val="00907236"/>
    <w:rsid w:val="0090780A"/>
    <w:rsid w:val="00907DBE"/>
    <w:rsid w:val="00911297"/>
    <w:rsid w:val="0091136F"/>
    <w:rsid w:val="00911863"/>
    <w:rsid w:val="00911BB3"/>
    <w:rsid w:val="0091262D"/>
    <w:rsid w:val="00912C09"/>
    <w:rsid w:val="00912C8C"/>
    <w:rsid w:val="00913AFA"/>
    <w:rsid w:val="0091472D"/>
    <w:rsid w:val="00914ACA"/>
    <w:rsid w:val="00914CF1"/>
    <w:rsid w:val="0091566A"/>
    <w:rsid w:val="00916099"/>
    <w:rsid w:val="0091623F"/>
    <w:rsid w:val="0091654A"/>
    <w:rsid w:val="009165D5"/>
    <w:rsid w:val="0091666D"/>
    <w:rsid w:val="00916A98"/>
    <w:rsid w:val="00916CE5"/>
    <w:rsid w:val="009172A6"/>
    <w:rsid w:val="009206E3"/>
    <w:rsid w:val="009224AA"/>
    <w:rsid w:val="00922B53"/>
    <w:rsid w:val="00922E67"/>
    <w:rsid w:val="0092400C"/>
    <w:rsid w:val="00924695"/>
    <w:rsid w:val="00924B22"/>
    <w:rsid w:val="00924DA2"/>
    <w:rsid w:val="00924E8D"/>
    <w:rsid w:val="009265AA"/>
    <w:rsid w:val="00926674"/>
    <w:rsid w:val="00926B05"/>
    <w:rsid w:val="00926DC7"/>
    <w:rsid w:val="0092728D"/>
    <w:rsid w:val="0092797E"/>
    <w:rsid w:val="00930742"/>
    <w:rsid w:val="009307F2"/>
    <w:rsid w:val="00930CC7"/>
    <w:rsid w:val="00930DD2"/>
    <w:rsid w:val="00930FAE"/>
    <w:rsid w:val="009319C7"/>
    <w:rsid w:val="009336E9"/>
    <w:rsid w:val="00934067"/>
    <w:rsid w:val="009341A3"/>
    <w:rsid w:val="0093422A"/>
    <w:rsid w:val="009349F8"/>
    <w:rsid w:val="009353AB"/>
    <w:rsid w:val="009372D7"/>
    <w:rsid w:val="00937BA5"/>
    <w:rsid w:val="00937F52"/>
    <w:rsid w:val="00937F9C"/>
    <w:rsid w:val="009409DD"/>
    <w:rsid w:val="00940BC9"/>
    <w:rsid w:val="00942139"/>
    <w:rsid w:val="00943091"/>
    <w:rsid w:val="00944C52"/>
    <w:rsid w:val="00945910"/>
    <w:rsid w:val="00945B85"/>
    <w:rsid w:val="009472C7"/>
    <w:rsid w:val="009472F0"/>
    <w:rsid w:val="0094761A"/>
    <w:rsid w:val="00947813"/>
    <w:rsid w:val="00947F20"/>
    <w:rsid w:val="00951705"/>
    <w:rsid w:val="009520EA"/>
    <w:rsid w:val="00952215"/>
    <w:rsid w:val="009524E0"/>
    <w:rsid w:val="00952565"/>
    <w:rsid w:val="00952BA3"/>
    <w:rsid w:val="00952D37"/>
    <w:rsid w:val="00952E20"/>
    <w:rsid w:val="0095392A"/>
    <w:rsid w:val="00953D6F"/>
    <w:rsid w:val="00954AE1"/>
    <w:rsid w:val="00954F6F"/>
    <w:rsid w:val="009550A5"/>
    <w:rsid w:val="00955593"/>
    <w:rsid w:val="009558E9"/>
    <w:rsid w:val="009560B8"/>
    <w:rsid w:val="0095638D"/>
    <w:rsid w:val="0095658E"/>
    <w:rsid w:val="00956600"/>
    <w:rsid w:val="009607A5"/>
    <w:rsid w:val="00961686"/>
    <w:rsid w:val="00962FB4"/>
    <w:rsid w:val="00963A6E"/>
    <w:rsid w:val="0096462D"/>
    <w:rsid w:val="009647E4"/>
    <w:rsid w:val="00964B82"/>
    <w:rsid w:val="0096522D"/>
    <w:rsid w:val="00965EA3"/>
    <w:rsid w:val="0096609B"/>
    <w:rsid w:val="00966CCB"/>
    <w:rsid w:val="00966EE6"/>
    <w:rsid w:val="009672F8"/>
    <w:rsid w:val="009673EF"/>
    <w:rsid w:val="00967579"/>
    <w:rsid w:val="00967763"/>
    <w:rsid w:val="0097058B"/>
    <w:rsid w:val="00970710"/>
    <w:rsid w:val="00970804"/>
    <w:rsid w:val="00971981"/>
    <w:rsid w:val="00971D7C"/>
    <w:rsid w:val="00971E02"/>
    <w:rsid w:val="009721D1"/>
    <w:rsid w:val="009727BA"/>
    <w:rsid w:val="00973047"/>
    <w:rsid w:val="00973827"/>
    <w:rsid w:val="00973D98"/>
    <w:rsid w:val="00974403"/>
    <w:rsid w:val="009747D3"/>
    <w:rsid w:val="00974E02"/>
    <w:rsid w:val="00974E7B"/>
    <w:rsid w:val="009759BD"/>
    <w:rsid w:val="0097713D"/>
    <w:rsid w:val="00977E64"/>
    <w:rsid w:val="009808B6"/>
    <w:rsid w:val="009809CD"/>
    <w:rsid w:val="00981382"/>
    <w:rsid w:val="009813C8"/>
    <w:rsid w:val="00982D1F"/>
    <w:rsid w:val="00983676"/>
    <w:rsid w:val="00983EF3"/>
    <w:rsid w:val="009846E3"/>
    <w:rsid w:val="00984B5E"/>
    <w:rsid w:val="009850F0"/>
    <w:rsid w:val="00985755"/>
    <w:rsid w:val="00986575"/>
    <w:rsid w:val="00986C30"/>
    <w:rsid w:val="00987503"/>
    <w:rsid w:val="009901DE"/>
    <w:rsid w:val="009905EE"/>
    <w:rsid w:val="00990AF2"/>
    <w:rsid w:val="009912F6"/>
    <w:rsid w:val="00992AA2"/>
    <w:rsid w:val="00992AB7"/>
    <w:rsid w:val="00993550"/>
    <w:rsid w:val="00993599"/>
    <w:rsid w:val="00993DA2"/>
    <w:rsid w:val="0099498B"/>
    <w:rsid w:val="00994BE9"/>
    <w:rsid w:val="00994CAF"/>
    <w:rsid w:val="00995121"/>
    <w:rsid w:val="0099623E"/>
    <w:rsid w:val="0099652F"/>
    <w:rsid w:val="009A169D"/>
    <w:rsid w:val="009A1F31"/>
    <w:rsid w:val="009A2323"/>
    <w:rsid w:val="009A27C7"/>
    <w:rsid w:val="009A301A"/>
    <w:rsid w:val="009A3AD3"/>
    <w:rsid w:val="009A3CF2"/>
    <w:rsid w:val="009A4251"/>
    <w:rsid w:val="009A4607"/>
    <w:rsid w:val="009A536A"/>
    <w:rsid w:val="009A5482"/>
    <w:rsid w:val="009A55EC"/>
    <w:rsid w:val="009A5643"/>
    <w:rsid w:val="009A6D0B"/>
    <w:rsid w:val="009A6F53"/>
    <w:rsid w:val="009A7042"/>
    <w:rsid w:val="009A73CB"/>
    <w:rsid w:val="009A7909"/>
    <w:rsid w:val="009A7FF9"/>
    <w:rsid w:val="009B054D"/>
    <w:rsid w:val="009B0BBC"/>
    <w:rsid w:val="009B1AD7"/>
    <w:rsid w:val="009B20F0"/>
    <w:rsid w:val="009B298B"/>
    <w:rsid w:val="009B2D58"/>
    <w:rsid w:val="009B3216"/>
    <w:rsid w:val="009B4CCF"/>
    <w:rsid w:val="009B51A8"/>
    <w:rsid w:val="009B5A91"/>
    <w:rsid w:val="009B5B76"/>
    <w:rsid w:val="009B5D08"/>
    <w:rsid w:val="009B732F"/>
    <w:rsid w:val="009B7AD8"/>
    <w:rsid w:val="009B7AD9"/>
    <w:rsid w:val="009C0547"/>
    <w:rsid w:val="009C07CF"/>
    <w:rsid w:val="009C0DC6"/>
    <w:rsid w:val="009C197D"/>
    <w:rsid w:val="009C20D8"/>
    <w:rsid w:val="009C23A9"/>
    <w:rsid w:val="009C346A"/>
    <w:rsid w:val="009C4111"/>
    <w:rsid w:val="009C4301"/>
    <w:rsid w:val="009C447B"/>
    <w:rsid w:val="009C670D"/>
    <w:rsid w:val="009C6BD9"/>
    <w:rsid w:val="009C728E"/>
    <w:rsid w:val="009C7BC3"/>
    <w:rsid w:val="009C7ECD"/>
    <w:rsid w:val="009C7F69"/>
    <w:rsid w:val="009D023D"/>
    <w:rsid w:val="009D0F46"/>
    <w:rsid w:val="009D1155"/>
    <w:rsid w:val="009D1907"/>
    <w:rsid w:val="009D233F"/>
    <w:rsid w:val="009D29A9"/>
    <w:rsid w:val="009D45B8"/>
    <w:rsid w:val="009D46CD"/>
    <w:rsid w:val="009D4978"/>
    <w:rsid w:val="009D507D"/>
    <w:rsid w:val="009D5287"/>
    <w:rsid w:val="009D54F2"/>
    <w:rsid w:val="009D5B3C"/>
    <w:rsid w:val="009D6436"/>
    <w:rsid w:val="009D72AE"/>
    <w:rsid w:val="009D7F4C"/>
    <w:rsid w:val="009E02F9"/>
    <w:rsid w:val="009E05C2"/>
    <w:rsid w:val="009E1D77"/>
    <w:rsid w:val="009E1E78"/>
    <w:rsid w:val="009E2159"/>
    <w:rsid w:val="009E2F2D"/>
    <w:rsid w:val="009E3873"/>
    <w:rsid w:val="009E43EE"/>
    <w:rsid w:val="009E4929"/>
    <w:rsid w:val="009E4DCE"/>
    <w:rsid w:val="009E6299"/>
    <w:rsid w:val="009E6DEA"/>
    <w:rsid w:val="009E7187"/>
    <w:rsid w:val="009E7413"/>
    <w:rsid w:val="009F0317"/>
    <w:rsid w:val="009F06BE"/>
    <w:rsid w:val="009F0C58"/>
    <w:rsid w:val="009F0E48"/>
    <w:rsid w:val="009F1D11"/>
    <w:rsid w:val="009F2A41"/>
    <w:rsid w:val="009F2F5D"/>
    <w:rsid w:val="009F3165"/>
    <w:rsid w:val="009F3190"/>
    <w:rsid w:val="009F3617"/>
    <w:rsid w:val="009F3796"/>
    <w:rsid w:val="009F390D"/>
    <w:rsid w:val="009F400C"/>
    <w:rsid w:val="009F4256"/>
    <w:rsid w:val="009F53BF"/>
    <w:rsid w:val="009F5A22"/>
    <w:rsid w:val="009F5A85"/>
    <w:rsid w:val="009F5CA3"/>
    <w:rsid w:val="009F62F9"/>
    <w:rsid w:val="009F682F"/>
    <w:rsid w:val="009F69A3"/>
    <w:rsid w:val="009F6BA9"/>
    <w:rsid w:val="009F6CE6"/>
    <w:rsid w:val="009F6DAF"/>
    <w:rsid w:val="00A0024C"/>
    <w:rsid w:val="00A00D00"/>
    <w:rsid w:val="00A00E71"/>
    <w:rsid w:val="00A01296"/>
    <w:rsid w:val="00A0145F"/>
    <w:rsid w:val="00A018D0"/>
    <w:rsid w:val="00A01ACF"/>
    <w:rsid w:val="00A02A8E"/>
    <w:rsid w:val="00A02ABD"/>
    <w:rsid w:val="00A031B8"/>
    <w:rsid w:val="00A0442D"/>
    <w:rsid w:val="00A0459E"/>
    <w:rsid w:val="00A04869"/>
    <w:rsid w:val="00A05176"/>
    <w:rsid w:val="00A05B9E"/>
    <w:rsid w:val="00A068A5"/>
    <w:rsid w:val="00A07C61"/>
    <w:rsid w:val="00A10E6B"/>
    <w:rsid w:val="00A11933"/>
    <w:rsid w:val="00A11A7B"/>
    <w:rsid w:val="00A1283E"/>
    <w:rsid w:val="00A13496"/>
    <w:rsid w:val="00A13F4C"/>
    <w:rsid w:val="00A14A96"/>
    <w:rsid w:val="00A14EF7"/>
    <w:rsid w:val="00A14F49"/>
    <w:rsid w:val="00A16396"/>
    <w:rsid w:val="00A16A86"/>
    <w:rsid w:val="00A16F17"/>
    <w:rsid w:val="00A170D5"/>
    <w:rsid w:val="00A1712B"/>
    <w:rsid w:val="00A17E9C"/>
    <w:rsid w:val="00A2002C"/>
    <w:rsid w:val="00A200E2"/>
    <w:rsid w:val="00A201E3"/>
    <w:rsid w:val="00A20E5A"/>
    <w:rsid w:val="00A21A39"/>
    <w:rsid w:val="00A22C77"/>
    <w:rsid w:val="00A232E6"/>
    <w:rsid w:val="00A2355F"/>
    <w:rsid w:val="00A236DC"/>
    <w:rsid w:val="00A2443A"/>
    <w:rsid w:val="00A245C2"/>
    <w:rsid w:val="00A25194"/>
    <w:rsid w:val="00A267E0"/>
    <w:rsid w:val="00A27B26"/>
    <w:rsid w:val="00A30042"/>
    <w:rsid w:val="00A30655"/>
    <w:rsid w:val="00A30CE8"/>
    <w:rsid w:val="00A30E11"/>
    <w:rsid w:val="00A320F9"/>
    <w:rsid w:val="00A32466"/>
    <w:rsid w:val="00A326F0"/>
    <w:rsid w:val="00A328FC"/>
    <w:rsid w:val="00A337BD"/>
    <w:rsid w:val="00A3439C"/>
    <w:rsid w:val="00A34AF6"/>
    <w:rsid w:val="00A34B43"/>
    <w:rsid w:val="00A35365"/>
    <w:rsid w:val="00A3648E"/>
    <w:rsid w:val="00A364C2"/>
    <w:rsid w:val="00A36B4F"/>
    <w:rsid w:val="00A37464"/>
    <w:rsid w:val="00A37A24"/>
    <w:rsid w:val="00A37C40"/>
    <w:rsid w:val="00A37D63"/>
    <w:rsid w:val="00A40005"/>
    <w:rsid w:val="00A400C6"/>
    <w:rsid w:val="00A40776"/>
    <w:rsid w:val="00A408EA"/>
    <w:rsid w:val="00A412E2"/>
    <w:rsid w:val="00A41BE4"/>
    <w:rsid w:val="00A41F0C"/>
    <w:rsid w:val="00A42FB0"/>
    <w:rsid w:val="00A43B15"/>
    <w:rsid w:val="00A43BCB"/>
    <w:rsid w:val="00A44DD9"/>
    <w:rsid w:val="00A459C1"/>
    <w:rsid w:val="00A45A30"/>
    <w:rsid w:val="00A461C9"/>
    <w:rsid w:val="00A46B35"/>
    <w:rsid w:val="00A46C9D"/>
    <w:rsid w:val="00A46F82"/>
    <w:rsid w:val="00A50378"/>
    <w:rsid w:val="00A5151B"/>
    <w:rsid w:val="00A52AFA"/>
    <w:rsid w:val="00A52EDC"/>
    <w:rsid w:val="00A53231"/>
    <w:rsid w:val="00A54191"/>
    <w:rsid w:val="00A545C3"/>
    <w:rsid w:val="00A54C9F"/>
    <w:rsid w:val="00A54D84"/>
    <w:rsid w:val="00A54DA3"/>
    <w:rsid w:val="00A554B8"/>
    <w:rsid w:val="00A5734C"/>
    <w:rsid w:val="00A579AD"/>
    <w:rsid w:val="00A6066E"/>
    <w:rsid w:val="00A61836"/>
    <w:rsid w:val="00A619D1"/>
    <w:rsid w:val="00A62A91"/>
    <w:rsid w:val="00A62CF5"/>
    <w:rsid w:val="00A62ED6"/>
    <w:rsid w:val="00A64596"/>
    <w:rsid w:val="00A64697"/>
    <w:rsid w:val="00A64C0B"/>
    <w:rsid w:val="00A64E59"/>
    <w:rsid w:val="00A65131"/>
    <w:rsid w:val="00A67193"/>
    <w:rsid w:val="00A70696"/>
    <w:rsid w:val="00A70F8A"/>
    <w:rsid w:val="00A71019"/>
    <w:rsid w:val="00A71C8F"/>
    <w:rsid w:val="00A723DB"/>
    <w:rsid w:val="00A7265A"/>
    <w:rsid w:val="00A72A89"/>
    <w:rsid w:val="00A7397C"/>
    <w:rsid w:val="00A74861"/>
    <w:rsid w:val="00A74B6E"/>
    <w:rsid w:val="00A75DE0"/>
    <w:rsid w:val="00A75E0D"/>
    <w:rsid w:val="00A77185"/>
    <w:rsid w:val="00A771C8"/>
    <w:rsid w:val="00A77284"/>
    <w:rsid w:val="00A7733F"/>
    <w:rsid w:val="00A80B3B"/>
    <w:rsid w:val="00A80CC4"/>
    <w:rsid w:val="00A82227"/>
    <w:rsid w:val="00A8242A"/>
    <w:rsid w:val="00A8267D"/>
    <w:rsid w:val="00A8292C"/>
    <w:rsid w:val="00A833B1"/>
    <w:rsid w:val="00A84EB4"/>
    <w:rsid w:val="00A85FDF"/>
    <w:rsid w:val="00A86196"/>
    <w:rsid w:val="00A865BA"/>
    <w:rsid w:val="00A86721"/>
    <w:rsid w:val="00A87551"/>
    <w:rsid w:val="00A8784D"/>
    <w:rsid w:val="00A87FEE"/>
    <w:rsid w:val="00A900FE"/>
    <w:rsid w:val="00A90171"/>
    <w:rsid w:val="00A9020B"/>
    <w:rsid w:val="00A909D8"/>
    <w:rsid w:val="00A90A89"/>
    <w:rsid w:val="00A90C4C"/>
    <w:rsid w:val="00A90E2A"/>
    <w:rsid w:val="00A91125"/>
    <w:rsid w:val="00A91CCC"/>
    <w:rsid w:val="00A91DB4"/>
    <w:rsid w:val="00A92433"/>
    <w:rsid w:val="00A9247C"/>
    <w:rsid w:val="00A92491"/>
    <w:rsid w:val="00A92AFA"/>
    <w:rsid w:val="00A93171"/>
    <w:rsid w:val="00A93233"/>
    <w:rsid w:val="00A93CBE"/>
    <w:rsid w:val="00A94192"/>
    <w:rsid w:val="00A942BE"/>
    <w:rsid w:val="00A9439A"/>
    <w:rsid w:val="00A94611"/>
    <w:rsid w:val="00A95930"/>
    <w:rsid w:val="00A95B65"/>
    <w:rsid w:val="00A96C1F"/>
    <w:rsid w:val="00A96D0C"/>
    <w:rsid w:val="00A97048"/>
    <w:rsid w:val="00AA0431"/>
    <w:rsid w:val="00AA0853"/>
    <w:rsid w:val="00AA1636"/>
    <w:rsid w:val="00AA25F5"/>
    <w:rsid w:val="00AA2877"/>
    <w:rsid w:val="00AA32E2"/>
    <w:rsid w:val="00AA35E8"/>
    <w:rsid w:val="00AA3B90"/>
    <w:rsid w:val="00AA3D26"/>
    <w:rsid w:val="00AA3EF4"/>
    <w:rsid w:val="00AA460A"/>
    <w:rsid w:val="00AA4A4F"/>
    <w:rsid w:val="00AA4E1A"/>
    <w:rsid w:val="00AA4EFA"/>
    <w:rsid w:val="00AA546E"/>
    <w:rsid w:val="00AA5969"/>
    <w:rsid w:val="00AA5AF7"/>
    <w:rsid w:val="00AA5D2B"/>
    <w:rsid w:val="00AA6166"/>
    <w:rsid w:val="00AA66D3"/>
    <w:rsid w:val="00AA66F5"/>
    <w:rsid w:val="00AA6876"/>
    <w:rsid w:val="00AA6D8F"/>
    <w:rsid w:val="00AA7F0E"/>
    <w:rsid w:val="00AB1A17"/>
    <w:rsid w:val="00AB2522"/>
    <w:rsid w:val="00AB26CE"/>
    <w:rsid w:val="00AB2A29"/>
    <w:rsid w:val="00AB2B73"/>
    <w:rsid w:val="00AB3911"/>
    <w:rsid w:val="00AB3999"/>
    <w:rsid w:val="00AB3B65"/>
    <w:rsid w:val="00AB44BC"/>
    <w:rsid w:val="00AB4E95"/>
    <w:rsid w:val="00AB531D"/>
    <w:rsid w:val="00AB6419"/>
    <w:rsid w:val="00AB7E67"/>
    <w:rsid w:val="00AC0D6F"/>
    <w:rsid w:val="00AC1512"/>
    <w:rsid w:val="00AC1EDE"/>
    <w:rsid w:val="00AC2C14"/>
    <w:rsid w:val="00AC2C36"/>
    <w:rsid w:val="00AC2CE4"/>
    <w:rsid w:val="00AC2E8B"/>
    <w:rsid w:val="00AC2F93"/>
    <w:rsid w:val="00AC3794"/>
    <w:rsid w:val="00AC3B40"/>
    <w:rsid w:val="00AC45DE"/>
    <w:rsid w:val="00AC498F"/>
    <w:rsid w:val="00AC4CC9"/>
    <w:rsid w:val="00AC6629"/>
    <w:rsid w:val="00AC6641"/>
    <w:rsid w:val="00AC6732"/>
    <w:rsid w:val="00AC7773"/>
    <w:rsid w:val="00AC7787"/>
    <w:rsid w:val="00AC7DD5"/>
    <w:rsid w:val="00AD0260"/>
    <w:rsid w:val="00AD116F"/>
    <w:rsid w:val="00AD1BCC"/>
    <w:rsid w:val="00AD1C72"/>
    <w:rsid w:val="00AD2981"/>
    <w:rsid w:val="00AD2D10"/>
    <w:rsid w:val="00AD3D6C"/>
    <w:rsid w:val="00AD5DEE"/>
    <w:rsid w:val="00AD6041"/>
    <w:rsid w:val="00AD6A10"/>
    <w:rsid w:val="00AD6BC7"/>
    <w:rsid w:val="00AD7A69"/>
    <w:rsid w:val="00AE02E4"/>
    <w:rsid w:val="00AE0DEF"/>
    <w:rsid w:val="00AE1590"/>
    <w:rsid w:val="00AE1E8A"/>
    <w:rsid w:val="00AE2122"/>
    <w:rsid w:val="00AE22A0"/>
    <w:rsid w:val="00AE28B5"/>
    <w:rsid w:val="00AE2FB8"/>
    <w:rsid w:val="00AE30B5"/>
    <w:rsid w:val="00AE32B9"/>
    <w:rsid w:val="00AE3E11"/>
    <w:rsid w:val="00AE4C81"/>
    <w:rsid w:val="00AE4EFC"/>
    <w:rsid w:val="00AE5063"/>
    <w:rsid w:val="00AE5717"/>
    <w:rsid w:val="00AE6CD2"/>
    <w:rsid w:val="00AE76A0"/>
    <w:rsid w:val="00AE7838"/>
    <w:rsid w:val="00AE7DB6"/>
    <w:rsid w:val="00AF06D8"/>
    <w:rsid w:val="00AF0B15"/>
    <w:rsid w:val="00AF1132"/>
    <w:rsid w:val="00AF12D8"/>
    <w:rsid w:val="00AF28A7"/>
    <w:rsid w:val="00AF2B7F"/>
    <w:rsid w:val="00AF3346"/>
    <w:rsid w:val="00AF44F7"/>
    <w:rsid w:val="00AF4825"/>
    <w:rsid w:val="00AF4E4A"/>
    <w:rsid w:val="00AF5516"/>
    <w:rsid w:val="00AF5B71"/>
    <w:rsid w:val="00AF5EE9"/>
    <w:rsid w:val="00AF6FF3"/>
    <w:rsid w:val="00AF79BD"/>
    <w:rsid w:val="00B00021"/>
    <w:rsid w:val="00B01B3E"/>
    <w:rsid w:val="00B02E5F"/>
    <w:rsid w:val="00B02F06"/>
    <w:rsid w:val="00B037A6"/>
    <w:rsid w:val="00B04C0F"/>
    <w:rsid w:val="00B053EA"/>
    <w:rsid w:val="00B06571"/>
    <w:rsid w:val="00B06C23"/>
    <w:rsid w:val="00B06E17"/>
    <w:rsid w:val="00B073AA"/>
    <w:rsid w:val="00B07802"/>
    <w:rsid w:val="00B07E79"/>
    <w:rsid w:val="00B10794"/>
    <w:rsid w:val="00B11517"/>
    <w:rsid w:val="00B119EE"/>
    <w:rsid w:val="00B11BC8"/>
    <w:rsid w:val="00B12EB8"/>
    <w:rsid w:val="00B137F0"/>
    <w:rsid w:val="00B13EB4"/>
    <w:rsid w:val="00B141BC"/>
    <w:rsid w:val="00B143E7"/>
    <w:rsid w:val="00B14425"/>
    <w:rsid w:val="00B14968"/>
    <w:rsid w:val="00B14A6E"/>
    <w:rsid w:val="00B153B1"/>
    <w:rsid w:val="00B159D9"/>
    <w:rsid w:val="00B15BA2"/>
    <w:rsid w:val="00B15CC8"/>
    <w:rsid w:val="00B15E66"/>
    <w:rsid w:val="00B16F0E"/>
    <w:rsid w:val="00B17551"/>
    <w:rsid w:val="00B21A9A"/>
    <w:rsid w:val="00B221B6"/>
    <w:rsid w:val="00B224EC"/>
    <w:rsid w:val="00B23693"/>
    <w:rsid w:val="00B2489D"/>
    <w:rsid w:val="00B2498E"/>
    <w:rsid w:val="00B25D22"/>
    <w:rsid w:val="00B25F99"/>
    <w:rsid w:val="00B272C7"/>
    <w:rsid w:val="00B3019B"/>
    <w:rsid w:val="00B303A9"/>
    <w:rsid w:val="00B30583"/>
    <w:rsid w:val="00B311BC"/>
    <w:rsid w:val="00B31DA2"/>
    <w:rsid w:val="00B31DAF"/>
    <w:rsid w:val="00B330C9"/>
    <w:rsid w:val="00B34949"/>
    <w:rsid w:val="00B34A46"/>
    <w:rsid w:val="00B34DDB"/>
    <w:rsid w:val="00B359CC"/>
    <w:rsid w:val="00B35F81"/>
    <w:rsid w:val="00B35FEF"/>
    <w:rsid w:val="00B3607D"/>
    <w:rsid w:val="00B3621A"/>
    <w:rsid w:val="00B36328"/>
    <w:rsid w:val="00B369DF"/>
    <w:rsid w:val="00B36C1A"/>
    <w:rsid w:val="00B36C7C"/>
    <w:rsid w:val="00B37073"/>
    <w:rsid w:val="00B375E2"/>
    <w:rsid w:val="00B40EAA"/>
    <w:rsid w:val="00B40FFE"/>
    <w:rsid w:val="00B41403"/>
    <w:rsid w:val="00B415C4"/>
    <w:rsid w:val="00B41669"/>
    <w:rsid w:val="00B4193E"/>
    <w:rsid w:val="00B4272A"/>
    <w:rsid w:val="00B43A1C"/>
    <w:rsid w:val="00B44120"/>
    <w:rsid w:val="00B44354"/>
    <w:rsid w:val="00B448E1"/>
    <w:rsid w:val="00B44B90"/>
    <w:rsid w:val="00B466C6"/>
    <w:rsid w:val="00B475D0"/>
    <w:rsid w:val="00B504AE"/>
    <w:rsid w:val="00B50893"/>
    <w:rsid w:val="00B51267"/>
    <w:rsid w:val="00B5128D"/>
    <w:rsid w:val="00B5139A"/>
    <w:rsid w:val="00B5154C"/>
    <w:rsid w:val="00B52C67"/>
    <w:rsid w:val="00B52E44"/>
    <w:rsid w:val="00B53F67"/>
    <w:rsid w:val="00B54181"/>
    <w:rsid w:val="00B547A9"/>
    <w:rsid w:val="00B54D82"/>
    <w:rsid w:val="00B54F6E"/>
    <w:rsid w:val="00B55441"/>
    <w:rsid w:val="00B55A87"/>
    <w:rsid w:val="00B56193"/>
    <w:rsid w:val="00B56253"/>
    <w:rsid w:val="00B569F9"/>
    <w:rsid w:val="00B56B72"/>
    <w:rsid w:val="00B57479"/>
    <w:rsid w:val="00B57E69"/>
    <w:rsid w:val="00B606E7"/>
    <w:rsid w:val="00B60729"/>
    <w:rsid w:val="00B60B7A"/>
    <w:rsid w:val="00B61260"/>
    <w:rsid w:val="00B612A3"/>
    <w:rsid w:val="00B62694"/>
    <w:rsid w:val="00B63E82"/>
    <w:rsid w:val="00B63FB4"/>
    <w:rsid w:val="00B64CF5"/>
    <w:rsid w:val="00B658D7"/>
    <w:rsid w:val="00B673AD"/>
    <w:rsid w:val="00B67B2B"/>
    <w:rsid w:val="00B704F8"/>
    <w:rsid w:val="00B708E0"/>
    <w:rsid w:val="00B70961"/>
    <w:rsid w:val="00B710D6"/>
    <w:rsid w:val="00B71D03"/>
    <w:rsid w:val="00B7322A"/>
    <w:rsid w:val="00B73FAD"/>
    <w:rsid w:val="00B740FE"/>
    <w:rsid w:val="00B744AE"/>
    <w:rsid w:val="00B7457F"/>
    <w:rsid w:val="00B74B43"/>
    <w:rsid w:val="00B7526F"/>
    <w:rsid w:val="00B758A8"/>
    <w:rsid w:val="00B77138"/>
    <w:rsid w:val="00B77514"/>
    <w:rsid w:val="00B80011"/>
    <w:rsid w:val="00B806FA"/>
    <w:rsid w:val="00B80820"/>
    <w:rsid w:val="00B80B42"/>
    <w:rsid w:val="00B80B64"/>
    <w:rsid w:val="00B80EC5"/>
    <w:rsid w:val="00B8257A"/>
    <w:rsid w:val="00B83E5B"/>
    <w:rsid w:val="00B84645"/>
    <w:rsid w:val="00B84F4E"/>
    <w:rsid w:val="00B92656"/>
    <w:rsid w:val="00B927D8"/>
    <w:rsid w:val="00B92813"/>
    <w:rsid w:val="00B92E7D"/>
    <w:rsid w:val="00B938D2"/>
    <w:rsid w:val="00B9418B"/>
    <w:rsid w:val="00B94318"/>
    <w:rsid w:val="00B94C68"/>
    <w:rsid w:val="00B95013"/>
    <w:rsid w:val="00B95C94"/>
    <w:rsid w:val="00B9606B"/>
    <w:rsid w:val="00B973CC"/>
    <w:rsid w:val="00B97941"/>
    <w:rsid w:val="00B97E30"/>
    <w:rsid w:val="00BA1216"/>
    <w:rsid w:val="00BA1C72"/>
    <w:rsid w:val="00BA2561"/>
    <w:rsid w:val="00BA2EA7"/>
    <w:rsid w:val="00BA3A07"/>
    <w:rsid w:val="00BA3F89"/>
    <w:rsid w:val="00BA466F"/>
    <w:rsid w:val="00BA4C0C"/>
    <w:rsid w:val="00BA6A71"/>
    <w:rsid w:val="00BA6DDB"/>
    <w:rsid w:val="00BA709A"/>
    <w:rsid w:val="00BA7A15"/>
    <w:rsid w:val="00BB1868"/>
    <w:rsid w:val="00BB3574"/>
    <w:rsid w:val="00BB3D2B"/>
    <w:rsid w:val="00BB51B7"/>
    <w:rsid w:val="00BB5A04"/>
    <w:rsid w:val="00BB6344"/>
    <w:rsid w:val="00BB6668"/>
    <w:rsid w:val="00BB67BD"/>
    <w:rsid w:val="00BB7C43"/>
    <w:rsid w:val="00BC068B"/>
    <w:rsid w:val="00BC19AE"/>
    <w:rsid w:val="00BC201F"/>
    <w:rsid w:val="00BC238A"/>
    <w:rsid w:val="00BC24BD"/>
    <w:rsid w:val="00BC2A80"/>
    <w:rsid w:val="00BC3132"/>
    <w:rsid w:val="00BC43A2"/>
    <w:rsid w:val="00BC4E05"/>
    <w:rsid w:val="00BC5360"/>
    <w:rsid w:val="00BC61C9"/>
    <w:rsid w:val="00BC6DDF"/>
    <w:rsid w:val="00BC7CD4"/>
    <w:rsid w:val="00BC7F42"/>
    <w:rsid w:val="00BD0089"/>
    <w:rsid w:val="00BD1195"/>
    <w:rsid w:val="00BD19B5"/>
    <w:rsid w:val="00BD210F"/>
    <w:rsid w:val="00BD2869"/>
    <w:rsid w:val="00BD31F6"/>
    <w:rsid w:val="00BD3A9E"/>
    <w:rsid w:val="00BD4082"/>
    <w:rsid w:val="00BD44E1"/>
    <w:rsid w:val="00BD4527"/>
    <w:rsid w:val="00BD47DE"/>
    <w:rsid w:val="00BD50F4"/>
    <w:rsid w:val="00BD5671"/>
    <w:rsid w:val="00BD63BC"/>
    <w:rsid w:val="00BD7A42"/>
    <w:rsid w:val="00BD7F12"/>
    <w:rsid w:val="00BE0BDB"/>
    <w:rsid w:val="00BE0E2C"/>
    <w:rsid w:val="00BE113E"/>
    <w:rsid w:val="00BE13A9"/>
    <w:rsid w:val="00BE1891"/>
    <w:rsid w:val="00BE1C20"/>
    <w:rsid w:val="00BE3D26"/>
    <w:rsid w:val="00BE46DF"/>
    <w:rsid w:val="00BE49B3"/>
    <w:rsid w:val="00BE4B6E"/>
    <w:rsid w:val="00BE4B77"/>
    <w:rsid w:val="00BE51B3"/>
    <w:rsid w:val="00BE5456"/>
    <w:rsid w:val="00BE623A"/>
    <w:rsid w:val="00BE6363"/>
    <w:rsid w:val="00BE6A26"/>
    <w:rsid w:val="00BE6EE6"/>
    <w:rsid w:val="00BF0187"/>
    <w:rsid w:val="00BF1AB0"/>
    <w:rsid w:val="00BF1E20"/>
    <w:rsid w:val="00BF1E68"/>
    <w:rsid w:val="00BF4BBD"/>
    <w:rsid w:val="00BF5AAE"/>
    <w:rsid w:val="00BF7C37"/>
    <w:rsid w:val="00C0037E"/>
    <w:rsid w:val="00C0146F"/>
    <w:rsid w:val="00C01903"/>
    <w:rsid w:val="00C04479"/>
    <w:rsid w:val="00C047BB"/>
    <w:rsid w:val="00C04E36"/>
    <w:rsid w:val="00C05371"/>
    <w:rsid w:val="00C05DB8"/>
    <w:rsid w:val="00C068A7"/>
    <w:rsid w:val="00C07117"/>
    <w:rsid w:val="00C10C27"/>
    <w:rsid w:val="00C10C99"/>
    <w:rsid w:val="00C1125E"/>
    <w:rsid w:val="00C113EA"/>
    <w:rsid w:val="00C114F5"/>
    <w:rsid w:val="00C11764"/>
    <w:rsid w:val="00C12110"/>
    <w:rsid w:val="00C12276"/>
    <w:rsid w:val="00C12BE1"/>
    <w:rsid w:val="00C141CA"/>
    <w:rsid w:val="00C1516A"/>
    <w:rsid w:val="00C15279"/>
    <w:rsid w:val="00C15D75"/>
    <w:rsid w:val="00C15DEA"/>
    <w:rsid w:val="00C16067"/>
    <w:rsid w:val="00C16110"/>
    <w:rsid w:val="00C17892"/>
    <w:rsid w:val="00C20568"/>
    <w:rsid w:val="00C2092D"/>
    <w:rsid w:val="00C21242"/>
    <w:rsid w:val="00C2135B"/>
    <w:rsid w:val="00C21813"/>
    <w:rsid w:val="00C21CA9"/>
    <w:rsid w:val="00C223E8"/>
    <w:rsid w:val="00C226F1"/>
    <w:rsid w:val="00C24EE1"/>
    <w:rsid w:val="00C24FCF"/>
    <w:rsid w:val="00C25324"/>
    <w:rsid w:val="00C25698"/>
    <w:rsid w:val="00C25FF7"/>
    <w:rsid w:val="00C2680F"/>
    <w:rsid w:val="00C26D03"/>
    <w:rsid w:val="00C26E9F"/>
    <w:rsid w:val="00C26F4D"/>
    <w:rsid w:val="00C277FD"/>
    <w:rsid w:val="00C27BC7"/>
    <w:rsid w:val="00C30DEE"/>
    <w:rsid w:val="00C31B50"/>
    <w:rsid w:val="00C31C14"/>
    <w:rsid w:val="00C32E4F"/>
    <w:rsid w:val="00C343DF"/>
    <w:rsid w:val="00C34929"/>
    <w:rsid w:val="00C34A6A"/>
    <w:rsid w:val="00C34C52"/>
    <w:rsid w:val="00C34E67"/>
    <w:rsid w:val="00C35799"/>
    <w:rsid w:val="00C35906"/>
    <w:rsid w:val="00C36F06"/>
    <w:rsid w:val="00C37197"/>
    <w:rsid w:val="00C37CFC"/>
    <w:rsid w:val="00C37D97"/>
    <w:rsid w:val="00C37F84"/>
    <w:rsid w:val="00C40737"/>
    <w:rsid w:val="00C41060"/>
    <w:rsid w:val="00C41D97"/>
    <w:rsid w:val="00C42901"/>
    <w:rsid w:val="00C42AAB"/>
    <w:rsid w:val="00C42ADF"/>
    <w:rsid w:val="00C43047"/>
    <w:rsid w:val="00C43C46"/>
    <w:rsid w:val="00C446A2"/>
    <w:rsid w:val="00C446FA"/>
    <w:rsid w:val="00C44DA2"/>
    <w:rsid w:val="00C45495"/>
    <w:rsid w:val="00C46648"/>
    <w:rsid w:val="00C46F0C"/>
    <w:rsid w:val="00C47FE3"/>
    <w:rsid w:val="00C50302"/>
    <w:rsid w:val="00C50889"/>
    <w:rsid w:val="00C51731"/>
    <w:rsid w:val="00C521F2"/>
    <w:rsid w:val="00C539DF"/>
    <w:rsid w:val="00C54C5A"/>
    <w:rsid w:val="00C54DE6"/>
    <w:rsid w:val="00C55005"/>
    <w:rsid w:val="00C55B88"/>
    <w:rsid w:val="00C57191"/>
    <w:rsid w:val="00C575D7"/>
    <w:rsid w:val="00C576E7"/>
    <w:rsid w:val="00C57C94"/>
    <w:rsid w:val="00C60683"/>
    <w:rsid w:val="00C60987"/>
    <w:rsid w:val="00C60E69"/>
    <w:rsid w:val="00C616B3"/>
    <w:rsid w:val="00C6276D"/>
    <w:rsid w:val="00C62820"/>
    <w:rsid w:val="00C628E6"/>
    <w:rsid w:val="00C630DF"/>
    <w:rsid w:val="00C6347E"/>
    <w:rsid w:val="00C636A9"/>
    <w:rsid w:val="00C63C41"/>
    <w:rsid w:val="00C63FB2"/>
    <w:rsid w:val="00C6400E"/>
    <w:rsid w:val="00C6480E"/>
    <w:rsid w:val="00C64B48"/>
    <w:rsid w:val="00C652C7"/>
    <w:rsid w:val="00C661AF"/>
    <w:rsid w:val="00C66F7F"/>
    <w:rsid w:val="00C670D3"/>
    <w:rsid w:val="00C6725C"/>
    <w:rsid w:val="00C67824"/>
    <w:rsid w:val="00C67D5D"/>
    <w:rsid w:val="00C70723"/>
    <w:rsid w:val="00C71626"/>
    <w:rsid w:val="00C71D69"/>
    <w:rsid w:val="00C72E80"/>
    <w:rsid w:val="00C73F96"/>
    <w:rsid w:val="00C74949"/>
    <w:rsid w:val="00C7658F"/>
    <w:rsid w:val="00C77A05"/>
    <w:rsid w:val="00C80DC6"/>
    <w:rsid w:val="00C80F69"/>
    <w:rsid w:val="00C8117E"/>
    <w:rsid w:val="00C81322"/>
    <w:rsid w:val="00C81477"/>
    <w:rsid w:val="00C8202B"/>
    <w:rsid w:val="00C8242E"/>
    <w:rsid w:val="00C82430"/>
    <w:rsid w:val="00C82467"/>
    <w:rsid w:val="00C82A05"/>
    <w:rsid w:val="00C836FF"/>
    <w:rsid w:val="00C83C4A"/>
    <w:rsid w:val="00C85264"/>
    <w:rsid w:val="00C85EBF"/>
    <w:rsid w:val="00C86B7D"/>
    <w:rsid w:val="00C86EE7"/>
    <w:rsid w:val="00C87BCA"/>
    <w:rsid w:val="00C90F93"/>
    <w:rsid w:val="00C917F3"/>
    <w:rsid w:val="00C925DC"/>
    <w:rsid w:val="00C933CF"/>
    <w:rsid w:val="00C93406"/>
    <w:rsid w:val="00C9629F"/>
    <w:rsid w:val="00C971D8"/>
    <w:rsid w:val="00C97B58"/>
    <w:rsid w:val="00CA1290"/>
    <w:rsid w:val="00CA130E"/>
    <w:rsid w:val="00CA3840"/>
    <w:rsid w:val="00CA429F"/>
    <w:rsid w:val="00CA53A3"/>
    <w:rsid w:val="00CA61F3"/>
    <w:rsid w:val="00CA66B2"/>
    <w:rsid w:val="00CA7430"/>
    <w:rsid w:val="00CA7983"/>
    <w:rsid w:val="00CB13D5"/>
    <w:rsid w:val="00CB1671"/>
    <w:rsid w:val="00CB1C4E"/>
    <w:rsid w:val="00CB1CDC"/>
    <w:rsid w:val="00CB1D91"/>
    <w:rsid w:val="00CB1DDE"/>
    <w:rsid w:val="00CB2920"/>
    <w:rsid w:val="00CB2C90"/>
    <w:rsid w:val="00CB2FC6"/>
    <w:rsid w:val="00CB33FD"/>
    <w:rsid w:val="00CB3E5E"/>
    <w:rsid w:val="00CB3EA3"/>
    <w:rsid w:val="00CB4C70"/>
    <w:rsid w:val="00CB597B"/>
    <w:rsid w:val="00CB5CB2"/>
    <w:rsid w:val="00CB6136"/>
    <w:rsid w:val="00CB637D"/>
    <w:rsid w:val="00CB7277"/>
    <w:rsid w:val="00CC0DEF"/>
    <w:rsid w:val="00CC1D66"/>
    <w:rsid w:val="00CC1E1D"/>
    <w:rsid w:val="00CC2577"/>
    <w:rsid w:val="00CC2858"/>
    <w:rsid w:val="00CC2B36"/>
    <w:rsid w:val="00CC2BBF"/>
    <w:rsid w:val="00CC3551"/>
    <w:rsid w:val="00CC3625"/>
    <w:rsid w:val="00CC426D"/>
    <w:rsid w:val="00CC5D94"/>
    <w:rsid w:val="00CC604A"/>
    <w:rsid w:val="00CC65C6"/>
    <w:rsid w:val="00CC756D"/>
    <w:rsid w:val="00CC765A"/>
    <w:rsid w:val="00CC77A3"/>
    <w:rsid w:val="00CD1535"/>
    <w:rsid w:val="00CD3E66"/>
    <w:rsid w:val="00CD4E4B"/>
    <w:rsid w:val="00CD55D6"/>
    <w:rsid w:val="00CD6172"/>
    <w:rsid w:val="00CD6E58"/>
    <w:rsid w:val="00CD7057"/>
    <w:rsid w:val="00CD7947"/>
    <w:rsid w:val="00CE012E"/>
    <w:rsid w:val="00CE0337"/>
    <w:rsid w:val="00CE0363"/>
    <w:rsid w:val="00CE0568"/>
    <w:rsid w:val="00CE08E1"/>
    <w:rsid w:val="00CE13C3"/>
    <w:rsid w:val="00CE145D"/>
    <w:rsid w:val="00CE17EF"/>
    <w:rsid w:val="00CE2091"/>
    <w:rsid w:val="00CE345A"/>
    <w:rsid w:val="00CE3711"/>
    <w:rsid w:val="00CE4BC6"/>
    <w:rsid w:val="00CE558C"/>
    <w:rsid w:val="00CE5A9F"/>
    <w:rsid w:val="00CE5E81"/>
    <w:rsid w:val="00CE5E87"/>
    <w:rsid w:val="00CE621F"/>
    <w:rsid w:val="00CE723C"/>
    <w:rsid w:val="00CE746A"/>
    <w:rsid w:val="00CE7505"/>
    <w:rsid w:val="00CF05DB"/>
    <w:rsid w:val="00CF1323"/>
    <w:rsid w:val="00CF1CD7"/>
    <w:rsid w:val="00CF1D3E"/>
    <w:rsid w:val="00CF22E4"/>
    <w:rsid w:val="00CF2498"/>
    <w:rsid w:val="00CF2998"/>
    <w:rsid w:val="00CF31C7"/>
    <w:rsid w:val="00CF338A"/>
    <w:rsid w:val="00CF36E1"/>
    <w:rsid w:val="00CF3C9F"/>
    <w:rsid w:val="00CF3DAC"/>
    <w:rsid w:val="00CF42F5"/>
    <w:rsid w:val="00CF430F"/>
    <w:rsid w:val="00CF46F3"/>
    <w:rsid w:val="00CF51EE"/>
    <w:rsid w:val="00CF5470"/>
    <w:rsid w:val="00CF561F"/>
    <w:rsid w:val="00CF59E2"/>
    <w:rsid w:val="00CF5D35"/>
    <w:rsid w:val="00CF60C4"/>
    <w:rsid w:val="00CF6AD5"/>
    <w:rsid w:val="00CF6C7E"/>
    <w:rsid w:val="00CF724A"/>
    <w:rsid w:val="00CF7BDF"/>
    <w:rsid w:val="00CF7DB2"/>
    <w:rsid w:val="00D006E0"/>
    <w:rsid w:val="00D02821"/>
    <w:rsid w:val="00D03276"/>
    <w:rsid w:val="00D03455"/>
    <w:rsid w:val="00D03A3B"/>
    <w:rsid w:val="00D03ECD"/>
    <w:rsid w:val="00D049AD"/>
    <w:rsid w:val="00D049C2"/>
    <w:rsid w:val="00D0552E"/>
    <w:rsid w:val="00D0664C"/>
    <w:rsid w:val="00D07A93"/>
    <w:rsid w:val="00D101CC"/>
    <w:rsid w:val="00D101F2"/>
    <w:rsid w:val="00D10305"/>
    <w:rsid w:val="00D10794"/>
    <w:rsid w:val="00D10D02"/>
    <w:rsid w:val="00D10D5C"/>
    <w:rsid w:val="00D10E4A"/>
    <w:rsid w:val="00D114B4"/>
    <w:rsid w:val="00D1211A"/>
    <w:rsid w:val="00D1368A"/>
    <w:rsid w:val="00D13867"/>
    <w:rsid w:val="00D13D56"/>
    <w:rsid w:val="00D13E95"/>
    <w:rsid w:val="00D14483"/>
    <w:rsid w:val="00D148A3"/>
    <w:rsid w:val="00D164F7"/>
    <w:rsid w:val="00D170E5"/>
    <w:rsid w:val="00D176A1"/>
    <w:rsid w:val="00D178E7"/>
    <w:rsid w:val="00D17C39"/>
    <w:rsid w:val="00D17EF2"/>
    <w:rsid w:val="00D17FEE"/>
    <w:rsid w:val="00D2055D"/>
    <w:rsid w:val="00D20E5E"/>
    <w:rsid w:val="00D21723"/>
    <w:rsid w:val="00D21C55"/>
    <w:rsid w:val="00D22D32"/>
    <w:rsid w:val="00D22FA3"/>
    <w:rsid w:val="00D24466"/>
    <w:rsid w:val="00D245A4"/>
    <w:rsid w:val="00D24633"/>
    <w:rsid w:val="00D24783"/>
    <w:rsid w:val="00D2481C"/>
    <w:rsid w:val="00D24898"/>
    <w:rsid w:val="00D25797"/>
    <w:rsid w:val="00D259E6"/>
    <w:rsid w:val="00D25CAB"/>
    <w:rsid w:val="00D26084"/>
    <w:rsid w:val="00D26143"/>
    <w:rsid w:val="00D26229"/>
    <w:rsid w:val="00D272D6"/>
    <w:rsid w:val="00D2795B"/>
    <w:rsid w:val="00D27E5C"/>
    <w:rsid w:val="00D3024F"/>
    <w:rsid w:val="00D3109D"/>
    <w:rsid w:val="00D325BC"/>
    <w:rsid w:val="00D34C8B"/>
    <w:rsid w:val="00D364D0"/>
    <w:rsid w:val="00D368D8"/>
    <w:rsid w:val="00D4056A"/>
    <w:rsid w:val="00D42AA6"/>
    <w:rsid w:val="00D433C9"/>
    <w:rsid w:val="00D44434"/>
    <w:rsid w:val="00D4573B"/>
    <w:rsid w:val="00D45BD0"/>
    <w:rsid w:val="00D46719"/>
    <w:rsid w:val="00D469BA"/>
    <w:rsid w:val="00D504C0"/>
    <w:rsid w:val="00D5106F"/>
    <w:rsid w:val="00D51540"/>
    <w:rsid w:val="00D515DC"/>
    <w:rsid w:val="00D525E2"/>
    <w:rsid w:val="00D52940"/>
    <w:rsid w:val="00D53872"/>
    <w:rsid w:val="00D53CDA"/>
    <w:rsid w:val="00D5442F"/>
    <w:rsid w:val="00D54908"/>
    <w:rsid w:val="00D55C3F"/>
    <w:rsid w:val="00D55FAB"/>
    <w:rsid w:val="00D56A4D"/>
    <w:rsid w:val="00D57C95"/>
    <w:rsid w:val="00D604B4"/>
    <w:rsid w:val="00D606A0"/>
    <w:rsid w:val="00D60D91"/>
    <w:rsid w:val="00D60E17"/>
    <w:rsid w:val="00D618C6"/>
    <w:rsid w:val="00D624A9"/>
    <w:rsid w:val="00D62ADF"/>
    <w:rsid w:val="00D62F3A"/>
    <w:rsid w:val="00D63131"/>
    <w:rsid w:val="00D6334D"/>
    <w:rsid w:val="00D64141"/>
    <w:rsid w:val="00D64A2B"/>
    <w:rsid w:val="00D64EF4"/>
    <w:rsid w:val="00D65115"/>
    <w:rsid w:val="00D65117"/>
    <w:rsid w:val="00D6743D"/>
    <w:rsid w:val="00D67C36"/>
    <w:rsid w:val="00D70D6A"/>
    <w:rsid w:val="00D71C59"/>
    <w:rsid w:val="00D71FE0"/>
    <w:rsid w:val="00D72714"/>
    <w:rsid w:val="00D72B42"/>
    <w:rsid w:val="00D72E32"/>
    <w:rsid w:val="00D72F07"/>
    <w:rsid w:val="00D74AE1"/>
    <w:rsid w:val="00D74DEE"/>
    <w:rsid w:val="00D7563F"/>
    <w:rsid w:val="00D75B8F"/>
    <w:rsid w:val="00D76026"/>
    <w:rsid w:val="00D77836"/>
    <w:rsid w:val="00D800A6"/>
    <w:rsid w:val="00D8163F"/>
    <w:rsid w:val="00D82AF1"/>
    <w:rsid w:val="00D82BE8"/>
    <w:rsid w:val="00D82EB7"/>
    <w:rsid w:val="00D82F40"/>
    <w:rsid w:val="00D8331C"/>
    <w:rsid w:val="00D83715"/>
    <w:rsid w:val="00D837DA"/>
    <w:rsid w:val="00D838ED"/>
    <w:rsid w:val="00D83C5C"/>
    <w:rsid w:val="00D83ED4"/>
    <w:rsid w:val="00D8489C"/>
    <w:rsid w:val="00D84AD4"/>
    <w:rsid w:val="00D84AD8"/>
    <w:rsid w:val="00D859E1"/>
    <w:rsid w:val="00D85AC0"/>
    <w:rsid w:val="00D869AF"/>
    <w:rsid w:val="00D86D01"/>
    <w:rsid w:val="00D86E5B"/>
    <w:rsid w:val="00D877A8"/>
    <w:rsid w:val="00D87BB3"/>
    <w:rsid w:val="00D909F6"/>
    <w:rsid w:val="00D91293"/>
    <w:rsid w:val="00D919CA"/>
    <w:rsid w:val="00D93492"/>
    <w:rsid w:val="00D93BDF"/>
    <w:rsid w:val="00D94500"/>
    <w:rsid w:val="00D95592"/>
    <w:rsid w:val="00D96143"/>
    <w:rsid w:val="00D963CF"/>
    <w:rsid w:val="00D96C7D"/>
    <w:rsid w:val="00D97F60"/>
    <w:rsid w:val="00DA0A0D"/>
    <w:rsid w:val="00DA12D6"/>
    <w:rsid w:val="00DA1E4C"/>
    <w:rsid w:val="00DA1E51"/>
    <w:rsid w:val="00DA257C"/>
    <w:rsid w:val="00DA2931"/>
    <w:rsid w:val="00DA2B8D"/>
    <w:rsid w:val="00DA30A6"/>
    <w:rsid w:val="00DA31CA"/>
    <w:rsid w:val="00DA3374"/>
    <w:rsid w:val="00DA3AFA"/>
    <w:rsid w:val="00DA40EF"/>
    <w:rsid w:val="00DA4FD3"/>
    <w:rsid w:val="00DA50BB"/>
    <w:rsid w:val="00DA66F8"/>
    <w:rsid w:val="00DA6757"/>
    <w:rsid w:val="00DA6B02"/>
    <w:rsid w:val="00DA6B17"/>
    <w:rsid w:val="00DA7A63"/>
    <w:rsid w:val="00DA7B1F"/>
    <w:rsid w:val="00DB012A"/>
    <w:rsid w:val="00DB06C9"/>
    <w:rsid w:val="00DB0C8E"/>
    <w:rsid w:val="00DB0CD9"/>
    <w:rsid w:val="00DB183F"/>
    <w:rsid w:val="00DB2154"/>
    <w:rsid w:val="00DB22E9"/>
    <w:rsid w:val="00DB23B6"/>
    <w:rsid w:val="00DB37B3"/>
    <w:rsid w:val="00DB39A4"/>
    <w:rsid w:val="00DB3D77"/>
    <w:rsid w:val="00DB6099"/>
    <w:rsid w:val="00DB64B6"/>
    <w:rsid w:val="00DC10FF"/>
    <w:rsid w:val="00DC1496"/>
    <w:rsid w:val="00DC2308"/>
    <w:rsid w:val="00DC29D6"/>
    <w:rsid w:val="00DC4188"/>
    <w:rsid w:val="00DC4401"/>
    <w:rsid w:val="00DC4583"/>
    <w:rsid w:val="00DC5440"/>
    <w:rsid w:val="00DC5A78"/>
    <w:rsid w:val="00DC6779"/>
    <w:rsid w:val="00DC7D94"/>
    <w:rsid w:val="00DC7F41"/>
    <w:rsid w:val="00DD06A8"/>
    <w:rsid w:val="00DD0C64"/>
    <w:rsid w:val="00DD1613"/>
    <w:rsid w:val="00DD1AFB"/>
    <w:rsid w:val="00DD1BB9"/>
    <w:rsid w:val="00DD1C7B"/>
    <w:rsid w:val="00DD26B9"/>
    <w:rsid w:val="00DD2811"/>
    <w:rsid w:val="00DD2B71"/>
    <w:rsid w:val="00DD3279"/>
    <w:rsid w:val="00DD3BDD"/>
    <w:rsid w:val="00DD46C8"/>
    <w:rsid w:val="00DD5A25"/>
    <w:rsid w:val="00DD68A2"/>
    <w:rsid w:val="00DE05A8"/>
    <w:rsid w:val="00DE0A8C"/>
    <w:rsid w:val="00DE0EE3"/>
    <w:rsid w:val="00DE1FEB"/>
    <w:rsid w:val="00DE35E3"/>
    <w:rsid w:val="00DE39B5"/>
    <w:rsid w:val="00DE3DBE"/>
    <w:rsid w:val="00DE44ED"/>
    <w:rsid w:val="00DE4724"/>
    <w:rsid w:val="00DE4B0B"/>
    <w:rsid w:val="00DE569C"/>
    <w:rsid w:val="00DE5891"/>
    <w:rsid w:val="00DE5AEE"/>
    <w:rsid w:val="00DE5E41"/>
    <w:rsid w:val="00DE6E31"/>
    <w:rsid w:val="00DE7B13"/>
    <w:rsid w:val="00DF020F"/>
    <w:rsid w:val="00DF0F1D"/>
    <w:rsid w:val="00DF13EA"/>
    <w:rsid w:val="00DF18EE"/>
    <w:rsid w:val="00DF19DD"/>
    <w:rsid w:val="00DF260B"/>
    <w:rsid w:val="00DF2B82"/>
    <w:rsid w:val="00DF3405"/>
    <w:rsid w:val="00DF36E3"/>
    <w:rsid w:val="00DF46F1"/>
    <w:rsid w:val="00DF4721"/>
    <w:rsid w:val="00DF4DB8"/>
    <w:rsid w:val="00DF657C"/>
    <w:rsid w:val="00DF6C4D"/>
    <w:rsid w:val="00DF7687"/>
    <w:rsid w:val="00E00007"/>
    <w:rsid w:val="00E01B74"/>
    <w:rsid w:val="00E02279"/>
    <w:rsid w:val="00E02C42"/>
    <w:rsid w:val="00E02F72"/>
    <w:rsid w:val="00E03A43"/>
    <w:rsid w:val="00E03D77"/>
    <w:rsid w:val="00E03D7E"/>
    <w:rsid w:val="00E03EDE"/>
    <w:rsid w:val="00E04617"/>
    <w:rsid w:val="00E054CF"/>
    <w:rsid w:val="00E058AE"/>
    <w:rsid w:val="00E05FBA"/>
    <w:rsid w:val="00E065A3"/>
    <w:rsid w:val="00E072AB"/>
    <w:rsid w:val="00E107B1"/>
    <w:rsid w:val="00E10AE7"/>
    <w:rsid w:val="00E11C1B"/>
    <w:rsid w:val="00E12E84"/>
    <w:rsid w:val="00E12F49"/>
    <w:rsid w:val="00E14A91"/>
    <w:rsid w:val="00E14EED"/>
    <w:rsid w:val="00E14FA5"/>
    <w:rsid w:val="00E155F8"/>
    <w:rsid w:val="00E15D94"/>
    <w:rsid w:val="00E162DB"/>
    <w:rsid w:val="00E16621"/>
    <w:rsid w:val="00E16C76"/>
    <w:rsid w:val="00E172A0"/>
    <w:rsid w:val="00E176BB"/>
    <w:rsid w:val="00E1770E"/>
    <w:rsid w:val="00E17C9B"/>
    <w:rsid w:val="00E20137"/>
    <w:rsid w:val="00E2024F"/>
    <w:rsid w:val="00E223BF"/>
    <w:rsid w:val="00E23132"/>
    <w:rsid w:val="00E233E2"/>
    <w:rsid w:val="00E234AC"/>
    <w:rsid w:val="00E23E62"/>
    <w:rsid w:val="00E24412"/>
    <w:rsid w:val="00E2636C"/>
    <w:rsid w:val="00E266AF"/>
    <w:rsid w:val="00E26AB0"/>
    <w:rsid w:val="00E26F73"/>
    <w:rsid w:val="00E26F7B"/>
    <w:rsid w:val="00E27901"/>
    <w:rsid w:val="00E27D23"/>
    <w:rsid w:val="00E30F7D"/>
    <w:rsid w:val="00E30FF1"/>
    <w:rsid w:val="00E318D1"/>
    <w:rsid w:val="00E31968"/>
    <w:rsid w:val="00E31B69"/>
    <w:rsid w:val="00E31C4F"/>
    <w:rsid w:val="00E32947"/>
    <w:rsid w:val="00E32E6C"/>
    <w:rsid w:val="00E3540D"/>
    <w:rsid w:val="00E3584B"/>
    <w:rsid w:val="00E35F36"/>
    <w:rsid w:val="00E35FC8"/>
    <w:rsid w:val="00E36B09"/>
    <w:rsid w:val="00E4065F"/>
    <w:rsid w:val="00E40A3F"/>
    <w:rsid w:val="00E40ABA"/>
    <w:rsid w:val="00E40B96"/>
    <w:rsid w:val="00E40C92"/>
    <w:rsid w:val="00E414DD"/>
    <w:rsid w:val="00E41679"/>
    <w:rsid w:val="00E41D57"/>
    <w:rsid w:val="00E437D6"/>
    <w:rsid w:val="00E43EBB"/>
    <w:rsid w:val="00E443D0"/>
    <w:rsid w:val="00E44CBE"/>
    <w:rsid w:val="00E459BD"/>
    <w:rsid w:val="00E46342"/>
    <w:rsid w:val="00E466B6"/>
    <w:rsid w:val="00E46E32"/>
    <w:rsid w:val="00E4775B"/>
    <w:rsid w:val="00E47A14"/>
    <w:rsid w:val="00E47A1A"/>
    <w:rsid w:val="00E47A92"/>
    <w:rsid w:val="00E5036F"/>
    <w:rsid w:val="00E51086"/>
    <w:rsid w:val="00E512E9"/>
    <w:rsid w:val="00E51F23"/>
    <w:rsid w:val="00E526DD"/>
    <w:rsid w:val="00E53229"/>
    <w:rsid w:val="00E53385"/>
    <w:rsid w:val="00E53E04"/>
    <w:rsid w:val="00E5451B"/>
    <w:rsid w:val="00E54822"/>
    <w:rsid w:val="00E552F5"/>
    <w:rsid w:val="00E55302"/>
    <w:rsid w:val="00E55867"/>
    <w:rsid w:val="00E55A45"/>
    <w:rsid w:val="00E57244"/>
    <w:rsid w:val="00E57811"/>
    <w:rsid w:val="00E57C3D"/>
    <w:rsid w:val="00E60371"/>
    <w:rsid w:val="00E61511"/>
    <w:rsid w:val="00E61F12"/>
    <w:rsid w:val="00E62F9B"/>
    <w:rsid w:val="00E654AA"/>
    <w:rsid w:val="00E65BD9"/>
    <w:rsid w:val="00E66914"/>
    <w:rsid w:val="00E67CED"/>
    <w:rsid w:val="00E70A86"/>
    <w:rsid w:val="00E711B4"/>
    <w:rsid w:val="00E715F7"/>
    <w:rsid w:val="00E71685"/>
    <w:rsid w:val="00E71974"/>
    <w:rsid w:val="00E71E7B"/>
    <w:rsid w:val="00E72509"/>
    <w:rsid w:val="00E7264B"/>
    <w:rsid w:val="00E72DA7"/>
    <w:rsid w:val="00E73714"/>
    <w:rsid w:val="00E73CAD"/>
    <w:rsid w:val="00E744EC"/>
    <w:rsid w:val="00E74DAD"/>
    <w:rsid w:val="00E74FC8"/>
    <w:rsid w:val="00E754B6"/>
    <w:rsid w:val="00E75575"/>
    <w:rsid w:val="00E75D96"/>
    <w:rsid w:val="00E75DA1"/>
    <w:rsid w:val="00E77CA4"/>
    <w:rsid w:val="00E77D13"/>
    <w:rsid w:val="00E8012A"/>
    <w:rsid w:val="00E80F40"/>
    <w:rsid w:val="00E83522"/>
    <w:rsid w:val="00E83D8B"/>
    <w:rsid w:val="00E84570"/>
    <w:rsid w:val="00E84BA6"/>
    <w:rsid w:val="00E85164"/>
    <w:rsid w:val="00E85C8A"/>
    <w:rsid w:val="00E85ED2"/>
    <w:rsid w:val="00E865E5"/>
    <w:rsid w:val="00E86634"/>
    <w:rsid w:val="00E86AC1"/>
    <w:rsid w:val="00E86E4F"/>
    <w:rsid w:val="00E87512"/>
    <w:rsid w:val="00E879F4"/>
    <w:rsid w:val="00E901C7"/>
    <w:rsid w:val="00E90764"/>
    <w:rsid w:val="00E90C6F"/>
    <w:rsid w:val="00E90D0A"/>
    <w:rsid w:val="00E90D96"/>
    <w:rsid w:val="00E90EAB"/>
    <w:rsid w:val="00E910B4"/>
    <w:rsid w:val="00E91911"/>
    <w:rsid w:val="00E91D59"/>
    <w:rsid w:val="00E925C8"/>
    <w:rsid w:val="00E9359F"/>
    <w:rsid w:val="00E93986"/>
    <w:rsid w:val="00E93FE6"/>
    <w:rsid w:val="00E943C5"/>
    <w:rsid w:val="00E95FD0"/>
    <w:rsid w:val="00E9755D"/>
    <w:rsid w:val="00EA0445"/>
    <w:rsid w:val="00EA0EAB"/>
    <w:rsid w:val="00EA1173"/>
    <w:rsid w:val="00EA1BE6"/>
    <w:rsid w:val="00EA249F"/>
    <w:rsid w:val="00EA2C63"/>
    <w:rsid w:val="00EA4976"/>
    <w:rsid w:val="00EA4B6A"/>
    <w:rsid w:val="00EA5149"/>
    <w:rsid w:val="00EA5893"/>
    <w:rsid w:val="00EA5E52"/>
    <w:rsid w:val="00EA7137"/>
    <w:rsid w:val="00EA7E4F"/>
    <w:rsid w:val="00EB00AA"/>
    <w:rsid w:val="00EB0C87"/>
    <w:rsid w:val="00EB27E5"/>
    <w:rsid w:val="00EB2BFE"/>
    <w:rsid w:val="00EB3264"/>
    <w:rsid w:val="00EB3E47"/>
    <w:rsid w:val="00EB50B4"/>
    <w:rsid w:val="00EB54C0"/>
    <w:rsid w:val="00EB59D3"/>
    <w:rsid w:val="00EB5B9E"/>
    <w:rsid w:val="00EB6636"/>
    <w:rsid w:val="00EB6A16"/>
    <w:rsid w:val="00EB6EDA"/>
    <w:rsid w:val="00EB760E"/>
    <w:rsid w:val="00EB7BEF"/>
    <w:rsid w:val="00EC1147"/>
    <w:rsid w:val="00EC126A"/>
    <w:rsid w:val="00EC1314"/>
    <w:rsid w:val="00EC13B6"/>
    <w:rsid w:val="00EC1C76"/>
    <w:rsid w:val="00EC1C97"/>
    <w:rsid w:val="00EC1F07"/>
    <w:rsid w:val="00EC2319"/>
    <w:rsid w:val="00EC2ED9"/>
    <w:rsid w:val="00EC3626"/>
    <w:rsid w:val="00EC3959"/>
    <w:rsid w:val="00EC3A87"/>
    <w:rsid w:val="00EC3C74"/>
    <w:rsid w:val="00EC3FC3"/>
    <w:rsid w:val="00EC56A9"/>
    <w:rsid w:val="00EC5FAE"/>
    <w:rsid w:val="00EC6169"/>
    <w:rsid w:val="00EC6824"/>
    <w:rsid w:val="00EC6E59"/>
    <w:rsid w:val="00EC6FCF"/>
    <w:rsid w:val="00EC7467"/>
    <w:rsid w:val="00EC7930"/>
    <w:rsid w:val="00EC7A0C"/>
    <w:rsid w:val="00ED0547"/>
    <w:rsid w:val="00ED05F3"/>
    <w:rsid w:val="00ED1127"/>
    <w:rsid w:val="00ED12F2"/>
    <w:rsid w:val="00ED245F"/>
    <w:rsid w:val="00ED2C3B"/>
    <w:rsid w:val="00ED3408"/>
    <w:rsid w:val="00ED40AA"/>
    <w:rsid w:val="00ED41F1"/>
    <w:rsid w:val="00ED49AA"/>
    <w:rsid w:val="00ED4B00"/>
    <w:rsid w:val="00ED4E35"/>
    <w:rsid w:val="00ED508A"/>
    <w:rsid w:val="00ED56B4"/>
    <w:rsid w:val="00ED56D4"/>
    <w:rsid w:val="00ED6DF6"/>
    <w:rsid w:val="00ED7140"/>
    <w:rsid w:val="00ED7394"/>
    <w:rsid w:val="00EE174C"/>
    <w:rsid w:val="00EE1FDD"/>
    <w:rsid w:val="00EE2724"/>
    <w:rsid w:val="00EE27BA"/>
    <w:rsid w:val="00EE2D88"/>
    <w:rsid w:val="00EE2D9E"/>
    <w:rsid w:val="00EE3EFF"/>
    <w:rsid w:val="00EE4413"/>
    <w:rsid w:val="00EE4A78"/>
    <w:rsid w:val="00EE4F1A"/>
    <w:rsid w:val="00EE52B0"/>
    <w:rsid w:val="00EE5F6E"/>
    <w:rsid w:val="00EE682A"/>
    <w:rsid w:val="00EE72C1"/>
    <w:rsid w:val="00EE7BB2"/>
    <w:rsid w:val="00EF013E"/>
    <w:rsid w:val="00EF02C1"/>
    <w:rsid w:val="00EF03F9"/>
    <w:rsid w:val="00EF09B2"/>
    <w:rsid w:val="00EF0B60"/>
    <w:rsid w:val="00EF10B3"/>
    <w:rsid w:val="00EF2182"/>
    <w:rsid w:val="00EF22A3"/>
    <w:rsid w:val="00EF2524"/>
    <w:rsid w:val="00EF272B"/>
    <w:rsid w:val="00EF4974"/>
    <w:rsid w:val="00EF4A02"/>
    <w:rsid w:val="00EF56F9"/>
    <w:rsid w:val="00EF5A3E"/>
    <w:rsid w:val="00EF5AD4"/>
    <w:rsid w:val="00EF6740"/>
    <w:rsid w:val="00EF6968"/>
    <w:rsid w:val="00EF6A3F"/>
    <w:rsid w:val="00EF6C35"/>
    <w:rsid w:val="00EF7585"/>
    <w:rsid w:val="00EF7DD2"/>
    <w:rsid w:val="00EF7DEF"/>
    <w:rsid w:val="00F00B84"/>
    <w:rsid w:val="00F012E9"/>
    <w:rsid w:val="00F019D3"/>
    <w:rsid w:val="00F03AE1"/>
    <w:rsid w:val="00F05B12"/>
    <w:rsid w:val="00F05F52"/>
    <w:rsid w:val="00F06832"/>
    <w:rsid w:val="00F06A6F"/>
    <w:rsid w:val="00F07B05"/>
    <w:rsid w:val="00F07BE7"/>
    <w:rsid w:val="00F10090"/>
    <w:rsid w:val="00F106BD"/>
    <w:rsid w:val="00F12B59"/>
    <w:rsid w:val="00F13A6A"/>
    <w:rsid w:val="00F1416F"/>
    <w:rsid w:val="00F14177"/>
    <w:rsid w:val="00F1505C"/>
    <w:rsid w:val="00F15218"/>
    <w:rsid w:val="00F154C7"/>
    <w:rsid w:val="00F1597B"/>
    <w:rsid w:val="00F16418"/>
    <w:rsid w:val="00F164EA"/>
    <w:rsid w:val="00F167ED"/>
    <w:rsid w:val="00F16A57"/>
    <w:rsid w:val="00F17440"/>
    <w:rsid w:val="00F17F6C"/>
    <w:rsid w:val="00F20072"/>
    <w:rsid w:val="00F20820"/>
    <w:rsid w:val="00F20B87"/>
    <w:rsid w:val="00F2123C"/>
    <w:rsid w:val="00F223F5"/>
    <w:rsid w:val="00F228A7"/>
    <w:rsid w:val="00F23EFB"/>
    <w:rsid w:val="00F249D3"/>
    <w:rsid w:val="00F24FF2"/>
    <w:rsid w:val="00F2582F"/>
    <w:rsid w:val="00F26560"/>
    <w:rsid w:val="00F26872"/>
    <w:rsid w:val="00F26A58"/>
    <w:rsid w:val="00F3078C"/>
    <w:rsid w:val="00F3136E"/>
    <w:rsid w:val="00F31825"/>
    <w:rsid w:val="00F326FF"/>
    <w:rsid w:val="00F32B30"/>
    <w:rsid w:val="00F33613"/>
    <w:rsid w:val="00F3435D"/>
    <w:rsid w:val="00F34B50"/>
    <w:rsid w:val="00F34EB7"/>
    <w:rsid w:val="00F360B8"/>
    <w:rsid w:val="00F36497"/>
    <w:rsid w:val="00F379A4"/>
    <w:rsid w:val="00F40310"/>
    <w:rsid w:val="00F4033E"/>
    <w:rsid w:val="00F4049B"/>
    <w:rsid w:val="00F40544"/>
    <w:rsid w:val="00F40ACB"/>
    <w:rsid w:val="00F41087"/>
    <w:rsid w:val="00F4181A"/>
    <w:rsid w:val="00F42042"/>
    <w:rsid w:val="00F42DB3"/>
    <w:rsid w:val="00F44247"/>
    <w:rsid w:val="00F44DBF"/>
    <w:rsid w:val="00F44F48"/>
    <w:rsid w:val="00F461CB"/>
    <w:rsid w:val="00F46D7B"/>
    <w:rsid w:val="00F50AED"/>
    <w:rsid w:val="00F50F31"/>
    <w:rsid w:val="00F51B70"/>
    <w:rsid w:val="00F53202"/>
    <w:rsid w:val="00F54950"/>
    <w:rsid w:val="00F54B22"/>
    <w:rsid w:val="00F54B89"/>
    <w:rsid w:val="00F557C0"/>
    <w:rsid w:val="00F56A45"/>
    <w:rsid w:val="00F56AFB"/>
    <w:rsid w:val="00F603B4"/>
    <w:rsid w:val="00F60AFF"/>
    <w:rsid w:val="00F60D1D"/>
    <w:rsid w:val="00F60F2F"/>
    <w:rsid w:val="00F61464"/>
    <w:rsid w:val="00F62756"/>
    <w:rsid w:val="00F627D9"/>
    <w:rsid w:val="00F62B25"/>
    <w:rsid w:val="00F62D3C"/>
    <w:rsid w:val="00F62FE8"/>
    <w:rsid w:val="00F634DD"/>
    <w:rsid w:val="00F638F6"/>
    <w:rsid w:val="00F64919"/>
    <w:rsid w:val="00F64A7D"/>
    <w:rsid w:val="00F64ECE"/>
    <w:rsid w:val="00F64F32"/>
    <w:rsid w:val="00F65785"/>
    <w:rsid w:val="00F65919"/>
    <w:rsid w:val="00F65A6B"/>
    <w:rsid w:val="00F65AEF"/>
    <w:rsid w:val="00F661C3"/>
    <w:rsid w:val="00F66C01"/>
    <w:rsid w:val="00F6782D"/>
    <w:rsid w:val="00F67E53"/>
    <w:rsid w:val="00F71C3E"/>
    <w:rsid w:val="00F7218F"/>
    <w:rsid w:val="00F7250D"/>
    <w:rsid w:val="00F72A27"/>
    <w:rsid w:val="00F72C8B"/>
    <w:rsid w:val="00F737AA"/>
    <w:rsid w:val="00F74614"/>
    <w:rsid w:val="00F763D1"/>
    <w:rsid w:val="00F7679A"/>
    <w:rsid w:val="00F76946"/>
    <w:rsid w:val="00F7735E"/>
    <w:rsid w:val="00F779A8"/>
    <w:rsid w:val="00F80B0B"/>
    <w:rsid w:val="00F80E34"/>
    <w:rsid w:val="00F8127D"/>
    <w:rsid w:val="00F814AA"/>
    <w:rsid w:val="00F814E4"/>
    <w:rsid w:val="00F82240"/>
    <w:rsid w:val="00F82772"/>
    <w:rsid w:val="00F8284B"/>
    <w:rsid w:val="00F828D6"/>
    <w:rsid w:val="00F82A96"/>
    <w:rsid w:val="00F83012"/>
    <w:rsid w:val="00F832C7"/>
    <w:rsid w:val="00F84A21"/>
    <w:rsid w:val="00F84B9A"/>
    <w:rsid w:val="00F8539B"/>
    <w:rsid w:val="00F85525"/>
    <w:rsid w:val="00F855CC"/>
    <w:rsid w:val="00F85D4B"/>
    <w:rsid w:val="00F86907"/>
    <w:rsid w:val="00F871FB"/>
    <w:rsid w:val="00F876AD"/>
    <w:rsid w:val="00F87A2C"/>
    <w:rsid w:val="00F90070"/>
    <w:rsid w:val="00F90444"/>
    <w:rsid w:val="00F90BE9"/>
    <w:rsid w:val="00F91473"/>
    <w:rsid w:val="00F9160A"/>
    <w:rsid w:val="00F918C1"/>
    <w:rsid w:val="00F91B85"/>
    <w:rsid w:val="00F92003"/>
    <w:rsid w:val="00F92312"/>
    <w:rsid w:val="00F9390F"/>
    <w:rsid w:val="00F939D8"/>
    <w:rsid w:val="00F940F9"/>
    <w:rsid w:val="00F9524B"/>
    <w:rsid w:val="00F95A75"/>
    <w:rsid w:val="00F97108"/>
    <w:rsid w:val="00F9743B"/>
    <w:rsid w:val="00FA0462"/>
    <w:rsid w:val="00FA05C5"/>
    <w:rsid w:val="00FA226E"/>
    <w:rsid w:val="00FA245C"/>
    <w:rsid w:val="00FA29C8"/>
    <w:rsid w:val="00FA2DED"/>
    <w:rsid w:val="00FA3354"/>
    <w:rsid w:val="00FA3D3C"/>
    <w:rsid w:val="00FA5229"/>
    <w:rsid w:val="00FA5236"/>
    <w:rsid w:val="00FA58D3"/>
    <w:rsid w:val="00FA6242"/>
    <w:rsid w:val="00FA6F78"/>
    <w:rsid w:val="00FB020B"/>
    <w:rsid w:val="00FB0500"/>
    <w:rsid w:val="00FB0700"/>
    <w:rsid w:val="00FB09EC"/>
    <w:rsid w:val="00FB119F"/>
    <w:rsid w:val="00FB1C41"/>
    <w:rsid w:val="00FB2459"/>
    <w:rsid w:val="00FB24C1"/>
    <w:rsid w:val="00FB2B4E"/>
    <w:rsid w:val="00FB2C7A"/>
    <w:rsid w:val="00FB3AB2"/>
    <w:rsid w:val="00FB3BBC"/>
    <w:rsid w:val="00FB3BE5"/>
    <w:rsid w:val="00FB4AB3"/>
    <w:rsid w:val="00FB55CF"/>
    <w:rsid w:val="00FB56B8"/>
    <w:rsid w:val="00FB5AC1"/>
    <w:rsid w:val="00FB5C8A"/>
    <w:rsid w:val="00FB68C1"/>
    <w:rsid w:val="00FB7197"/>
    <w:rsid w:val="00FC1356"/>
    <w:rsid w:val="00FC32C2"/>
    <w:rsid w:val="00FC3BDC"/>
    <w:rsid w:val="00FC57D6"/>
    <w:rsid w:val="00FC7576"/>
    <w:rsid w:val="00FD083A"/>
    <w:rsid w:val="00FD0B1B"/>
    <w:rsid w:val="00FD1CD1"/>
    <w:rsid w:val="00FD1EAC"/>
    <w:rsid w:val="00FD2537"/>
    <w:rsid w:val="00FD25E7"/>
    <w:rsid w:val="00FD2D72"/>
    <w:rsid w:val="00FD67C7"/>
    <w:rsid w:val="00FD695A"/>
    <w:rsid w:val="00FD697D"/>
    <w:rsid w:val="00FD6B7D"/>
    <w:rsid w:val="00FD6C16"/>
    <w:rsid w:val="00FD6E50"/>
    <w:rsid w:val="00FE0589"/>
    <w:rsid w:val="00FE06D8"/>
    <w:rsid w:val="00FE073F"/>
    <w:rsid w:val="00FE0AE6"/>
    <w:rsid w:val="00FE14E3"/>
    <w:rsid w:val="00FE1524"/>
    <w:rsid w:val="00FE22E9"/>
    <w:rsid w:val="00FE2E0E"/>
    <w:rsid w:val="00FE2E25"/>
    <w:rsid w:val="00FE30F4"/>
    <w:rsid w:val="00FE3642"/>
    <w:rsid w:val="00FE3884"/>
    <w:rsid w:val="00FE3E40"/>
    <w:rsid w:val="00FE43A6"/>
    <w:rsid w:val="00FE4A65"/>
    <w:rsid w:val="00FE51EB"/>
    <w:rsid w:val="00FE54C2"/>
    <w:rsid w:val="00FE5BE9"/>
    <w:rsid w:val="00FE69A7"/>
    <w:rsid w:val="00FE6DB7"/>
    <w:rsid w:val="00FE6F14"/>
    <w:rsid w:val="00FF088E"/>
    <w:rsid w:val="00FF186F"/>
    <w:rsid w:val="00FF1CE2"/>
    <w:rsid w:val="00FF1DBB"/>
    <w:rsid w:val="00FF21E3"/>
    <w:rsid w:val="00FF3B98"/>
    <w:rsid w:val="00FF3EA0"/>
    <w:rsid w:val="00FF43E9"/>
    <w:rsid w:val="00FF442D"/>
    <w:rsid w:val="00FF60A5"/>
    <w:rsid w:val="00FF647B"/>
    <w:rsid w:val="00FF64BF"/>
    <w:rsid w:val="00FF6502"/>
    <w:rsid w:val="00FF7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rules v:ext="edit">
        <o:r id="V:Rule3" type="connector" idref="#AutoShape 5"/>
        <o:r id="V:Rule4" type="connector" idref="#_x0000_s2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EB1"/>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F8539B"/>
    <w:pPr>
      <w:keepNext/>
      <w:keepLines/>
      <w:spacing w:before="200" w:after="0"/>
      <w:outlineLvl w:val="1"/>
    </w:pPr>
    <w:rPr>
      <w:rFonts w:ascii="Times New Roman" w:eastAsia="Times New Roman" w:hAnsi="Times New Roman"/>
      <w:b/>
      <w:bCs/>
      <w:color w:val="4F81BD"/>
      <w:sz w:val="26"/>
      <w:szCs w:val="26"/>
    </w:rPr>
  </w:style>
  <w:style w:type="paragraph" w:styleId="Heading6">
    <w:name w:val="heading 6"/>
    <w:basedOn w:val="Normal"/>
    <w:next w:val="Normal"/>
    <w:link w:val="Heading6Char"/>
    <w:qFormat/>
    <w:rsid w:val="00FE51EB"/>
    <w:pPr>
      <w:keepNext/>
      <w:spacing w:before="60" w:after="60" w:line="312" w:lineRule="auto"/>
      <w:jc w:val="center"/>
      <w:outlineLvl w:val="5"/>
    </w:pPr>
    <w:rPr>
      <w:rFonts w:ascii=".VnArial" w:eastAsia="Times New Roman" w:hAnsi=".VnArial"/>
      <w:b/>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FE51EB"/>
    <w:rPr>
      <w:rFonts w:ascii=".VnArial" w:eastAsia="Times New Roman" w:hAnsi=".VnArial" w:cs="Times New Roman"/>
      <w:b/>
      <w:bCs/>
      <w:sz w:val="26"/>
      <w:szCs w:val="28"/>
    </w:rPr>
  </w:style>
  <w:style w:type="paragraph" w:styleId="NormalWeb">
    <w:name w:val="Normal (Web)"/>
    <w:aliases w:val="Обычный (веб)1,Обычный (веб) Знак,Обычный (веб) Знак1,Обычный (веб) Знак Знак,Char Char Char Char Char Char Char Char Char Char,Char Char Char Char Char Char Char Char Char Char Char,Char Char,Normal (Web) Char1,Char8 Char,Char8,webb, Char8"/>
    <w:basedOn w:val="Normal"/>
    <w:link w:val="NormalWebChar"/>
    <w:uiPriority w:val="99"/>
    <w:unhideWhenUsed/>
    <w:qFormat/>
    <w:rsid w:val="00FE51EB"/>
    <w:pPr>
      <w:spacing w:before="120" w:after="240" w:line="360" w:lineRule="atLeast"/>
    </w:pPr>
    <w:rPr>
      <w:rFonts w:ascii="Verdana" w:eastAsia="Times New Roman" w:hAnsi="Verdana"/>
      <w:sz w:val="24"/>
      <w:szCs w:val="24"/>
    </w:rPr>
  </w:style>
  <w:style w:type="character" w:customStyle="1" w:styleId="normal-h1">
    <w:name w:val="normal-h1"/>
    <w:rsid w:val="00FE51EB"/>
    <w:rPr>
      <w:rFonts w:ascii="Times New Roman" w:hAnsi="Times New Roman" w:cs="Times New Roman" w:hint="default"/>
      <w:sz w:val="24"/>
      <w:szCs w:val="24"/>
    </w:rPr>
  </w:style>
  <w:style w:type="paragraph" w:customStyle="1" w:styleId="normal-p">
    <w:name w:val="normal-p"/>
    <w:basedOn w:val="Normal"/>
    <w:rsid w:val="00FE51EB"/>
    <w:pPr>
      <w:spacing w:after="0" w:line="240" w:lineRule="auto"/>
    </w:pPr>
    <w:rPr>
      <w:rFonts w:ascii="Times New Roman" w:eastAsia="Times New Roman" w:hAnsi="Times New Roman"/>
      <w:sz w:val="20"/>
      <w:szCs w:val="20"/>
    </w:rPr>
  </w:style>
  <w:style w:type="paragraph" w:styleId="ListParagraph">
    <w:name w:val="List Paragraph"/>
    <w:basedOn w:val="Normal"/>
    <w:uiPriority w:val="34"/>
    <w:qFormat/>
    <w:rsid w:val="00FE51EB"/>
    <w:pPr>
      <w:ind w:left="720"/>
      <w:contextualSpacing/>
    </w:pPr>
  </w:style>
  <w:style w:type="character" w:customStyle="1" w:styleId="HeaderChar">
    <w:name w:val="Header Char"/>
    <w:link w:val="Header"/>
    <w:uiPriority w:val="99"/>
    <w:rsid w:val="00FE51EB"/>
    <w:rPr>
      <w:rFonts w:ascii="Calibri" w:eastAsia="Calibri" w:hAnsi="Calibri" w:cs="Times New Roman"/>
    </w:rPr>
  </w:style>
  <w:style w:type="paragraph" w:styleId="Header">
    <w:name w:val="header"/>
    <w:basedOn w:val="Normal"/>
    <w:link w:val="HeaderChar"/>
    <w:uiPriority w:val="99"/>
    <w:unhideWhenUsed/>
    <w:rsid w:val="00FE51EB"/>
    <w:pPr>
      <w:tabs>
        <w:tab w:val="center" w:pos="4680"/>
        <w:tab w:val="right" w:pos="9360"/>
      </w:tabs>
      <w:spacing w:after="0" w:line="240" w:lineRule="auto"/>
    </w:pPr>
    <w:rPr>
      <w:sz w:val="20"/>
      <w:szCs w:val="20"/>
    </w:rPr>
  </w:style>
  <w:style w:type="character" w:customStyle="1" w:styleId="HeaderChar1">
    <w:name w:val="Header Char1"/>
    <w:basedOn w:val="DefaultParagraphFont"/>
    <w:uiPriority w:val="99"/>
    <w:semiHidden/>
    <w:rsid w:val="00FE51EB"/>
  </w:style>
  <w:style w:type="paragraph" w:styleId="Footer">
    <w:name w:val="footer"/>
    <w:basedOn w:val="Normal"/>
    <w:link w:val="FooterChar"/>
    <w:uiPriority w:val="99"/>
    <w:unhideWhenUsed/>
    <w:rsid w:val="00FE51EB"/>
    <w:pPr>
      <w:tabs>
        <w:tab w:val="center" w:pos="4680"/>
        <w:tab w:val="right" w:pos="9360"/>
      </w:tabs>
      <w:spacing w:after="0" w:line="240" w:lineRule="auto"/>
    </w:pPr>
    <w:rPr>
      <w:sz w:val="20"/>
      <w:szCs w:val="20"/>
    </w:rPr>
  </w:style>
  <w:style w:type="character" w:customStyle="1" w:styleId="FooterChar">
    <w:name w:val="Footer Char"/>
    <w:link w:val="Footer"/>
    <w:uiPriority w:val="99"/>
    <w:rsid w:val="00FE51EB"/>
    <w:rPr>
      <w:rFonts w:ascii="Calibri" w:eastAsia="Calibri" w:hAnsi="Calibri" w:cs="Times New Roman"/>
    </w:rPr>
  </w:style>
  <w:style w:type="paragraph" w:customStyle="1" w:styleId="DefaultParagraphFontParaCharCharCharCharChar">
    <w:name w:val="Default Paragraph Font Para Char Char Char Char Char"/>
    <w:autoRedefine/>
    <w:rsid w:val="00FE51EB"/>
    <w:pPr>
      <w:tabs>
        <w:tab w:val="left" w:pos="1152"/>
      </w:tabs>
      <w:spacing w:before="120" w:after="120" w:line="312" w:lineRule="auto"/>
    </w:pPr>
    <w:rPr>
      <w:rFonts w:ascii="Arial" w:eastAsia="Times New Roman" w:hAnsi="Arial" w:cs="Arial"/>
      <w:sz w:val="26"/>
      <w:szCs w:val="26"/>
    </w:rPr>
  </w:style>
  <w:style w:type="paragraph" w:customStyle="1" w:styleId="Style1">
    <w:name w:val="Style1"/>
    <w:basedOn w:val="Normal"/>
    <w:rsid w:val="00FE51EB"/>
    <w:pPr>
      <w:spacing w:before="120" w:after="0" w:line="240" w:lineRule="auto"/>
    </w:pPr>
    <w:rPr>
      <w:rFonts w:ascii="Arial" w:eastAsia="Times New Roman" w:hAnsi="Arial"/>
      <w:sz w:val="20"/>
      <w:szCs w:val="20"/>
    </w:rPr>
  </w:style>
  <w:style w:type="table" w:styleId="TableGrid">
    <w:name w:val="Table Grid"/>
    <w:basedOn w:val="TableNormal"/>
    <w:uiPriority w:val="39"/>
    <w:rsid w:val="00FE51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dieund">
    <w:name w:val="n-dieund"/>
    <w:basedOn w:val="Normal"/>
    <w:rsid w:val="00FE51EB"/>
    <w:pPr>
      <w:autoSpaceDE w:val="0"/>
      <w:autoSpaceDN w:val="0"/>
      <w:spacing w:after="120" w:line="240" w:lineRule="auto"/>
      <w:ind w:firstLine="709"/>
      <w:jc w:val="both"/>
    </w:pPr>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E51E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E51EB"/>
    <w:rPr>
      <w:rFonts w:ascii="Tahoma" w:eastAsia="Calibri" w:hAnsi="Tahoma" w:cs="Tahoma"/>
      <w:sz w:val="16"/>
      <w:szCs w:val="16"/>
    </w:rPr>
  </w:style>
  <w:style w:type="paragraph" w:styleId="BodyText3">
    <w:name w:val="Body Text 3"/>
    <w:basedOn w:val="Normal"/>
    <w:link w:val="BodyText3Char"/>
    <w:rsid w:val="00FE51EB"/>
    <w:pPr>
      <w:spacing w:after="0" w:line="240" w:lineRule="auto"/>
      <w:jc w:val="both"/>
    </w:pPr>
    <w:rPr>
      <w:rFonts w:ascii=".VnTime" w:eastAsia="Times New Roman" w:hAnsi=".VnTime"/>
      <w:sz w:val="28"/>
      <w:szCs w:val="28"/>
      <w:lang w:val="fr-FR" w:eastAsia="fr-FR"/>
    </w:rPr>
  </w:style>
  <w:style w:type="character" w:customStyle="1" w:styleId="BodyText3Char">
    <w:name w:val="Body Text 3 Char"/>
    <w:link w:val="BodyText3"/>
    <w:rsid w:val="00FE51EB"/>
    <w:rPr>
      <w:rFonts w:ascii=".VnTime" w:eastAsia="Times New Roman" w:hAnsi=".VnTime" w:cs="Times New Roman"/>
      <w:sz w:val="28"/>
      <w:szCs w:val="28"/>
      <w:lang w:val="fr-FR" w:eastAsia="fr-FR"/>
    </w:rPr>
  </w:style>
  <w:style w:type="paragraph" w:styleId="BodyText2">
    <w:name w:val="Body Text 2"/>
    <w:basedOn w:val="Normal"/>
    <w:link w:val="BodyText2Char"/>
    <w:semiHidden/>
    <w:rsid w:val="00FE51EB"/>
    <w:pPr>
      <w:spacing w:after="0" w:line="240" w:lineRule="auto"/>
      <w:jc w:val="both"/>
    </w:pPr>
    <w:rPr>
      <w:rFonts w:ascii="Times New Roman" w:eastAsia="Times New Roman" w:hAnsi="Times New Roman"/>
      <w:sz w:val="28"/>
      <w:szCs w:val="24"/>
    </w:rPr>
  </w:style>
  <w:style w:type="character" w:customStyle="1" w:styleId="BodyText2Char">
    <w:name w:val="Body Text 2 Char"/>
    <w:link w:val="BodyText2"/>
    <w:semiHidden/>
    <w:rsid w:val="00FE51EB"/>
    <w:rPr>
      <w:rFonts w:ascii="Times New Roman" w:eastAsia="Times New Roman" w:hAnsi="Times New Roman" w:cs="Times New Roman"/>
      <w:sz w:val="28"/>
      <w:szCs w:val="24"/>
    </w:rPr>
  </w:style>
  <w:style w:type="character" w:styleId="Hyperlink">
    <w:name w:val="Hyperlink"/>
    <w:uiPriority w:val="99"/>
    <w:unhideWhenUsed/>
    <w:rsid w:val="00FE51EB"/>
    <w:rPr>
      <w:strike w:val="0"/>
      <w:dstrike w:val="0"/>
      <w:color w:val="E77B13"/>
      <w:u w:val="none"/>
      <w:effect w:val="none"/>
    </w:rPr>
  </w:style>
  <w:style w:type="character" w:styleId="Emphasis">
    <w:name w:val="Emphasis"/>
    <w:uiPriority w:val="20"/>
    <w:qFormat/>
    <w:rsid w:val="00FE51EB"/>
    <w:rPr>
      <w:i/>
      <w:iCs/>
    </w:rPr>
  </w:style>
  <w:style w:type="numbering" w:customStyle="1" w:styleId="Style2">
    <w:name w:val="Style2"/>
    <w:uiPriority w:val="99"/>
    <w:rsid w:val="00FE51EB"/>
    <w:pPr>
      <w:numPr>
        <w:numId w:val="23"/>
      </w:numPr>
    </w:pPr>
  </w:style>
  <w:style w:type="paragraph" w:customStyle="1" w:styleId="CharCharCharChar">
    <w:name w:val="Char Char Char Char"/>
    <w:basedOn w:val="Normal"/>
    <w:rsid w:val="000F049B"/>
    <w:pPr>
      <w:pageBreakBefore/>
      <w:spacing w:before="100" w:beforeAutospacing="1" w:after="100" w:afterAutospacing="1" w:line="240" w:lineRule="auto"/>
    </w:pPr>
    <w:rPr>
      <w:rFonts w:ascii="Tahoma" w:eastAsia="Times New Roman" w:hAnsi="Tahoma"/>
      <w:sz w:val="20"/>
      <w:szCs w:val="20"/>
    </w:rPr>
  </w:style>
  <w:style w:type="table" w:customStyle="1" w:styleId="TableGrid1">
    <w:name w:val="Table Grid1"/>
    <w:basedOn w:val="TableNormal"/>
    <w:next w:val="TableGrid"/>
    <w:rsid w:val="00C10C27"/>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15DEA"/>
    <w:rPr>
      <w:sz w:val="22"/>
      <w:szCs w:val="22"/>
    </w:rPr>
  </w:style>
  <w:style w:type="character" w:styleId="PlaceholderText">
    <w:name w:val="Placeholder Text"/>
    <w:uiPriority w:val="99"/>
    <w:semiHidden/>
    <w:rsid w:val="001D6EC1"/>
    <w:rPr>
      <w:color w:val="808080"/>
    </w:rPr>
  </w:style>
  <w:style w:type="character" w:styleId="CommentReference">
    <w:name w:val="annotation reference"/>
    <w:uiPriority w:val="99"/>
    <w:semiHidden/>
    <w:unhideWhenUsed/>
    <w:rsid w:val="00CC0DEF"/>
    <w:rPr>
      <w:sz w:val="16"/>
      <w:szCs w:val="16"/>
    </w:rPr>
  </w:style>
  <w:style w:type="paragraph" w:styleId="CommentText">
    <w:name w:val="annotation text"/>
    <w:basedOn w:val="Normal"/>
    <w:link w:val="CommentTextChar"/>
    <w:uiPriority w:val="99"/>
    <w:semiHidden/>
    <w:unhideWhenUsed/>
    <w:rsid w:val="00CC0DEF"/>
    <w:pPr>
      <w:spacing w:line="240" w:lineRule="auto"/>
    </w:pPr>
    <w:rPr>
      <w:sz w:val="20"/>
      <w:szCs w:val="20"/>
    </w:rPr>
  </w:style>
  <w:style w:type="character" w:customStyle="1" w:styleId="CommentTextChar">
    <w:name w:val="Comment Text Char"/>
    <w:basedOn w:val="DefaultParagraphFont"/>
    <w:link w:val="CommentText"/>
    <w:uiPriority w:val="99"/>
    <w:semiHidden/>
    <w:rsid w:val="00CC0DEF"/>
  </w:style>
  <w:style w:type="paragraph" w:styleId="CommentSubject">
    <w:name w:val="annotation subject"/>
    <w:basedOn w:val="CommentText"/>
    <w:next w:val="CommentText"/>
    <w:link w:val="CommentSubjectChar"/>
    <w:uiPriority w:val="99"/>
    <w:semiHidden/>
    <w:unhideWhenUsed/>
    <w:rsid w:val="00CC0DEF"/>
    <w:rPr>
      <w:b/>
      <w:bCs/>
    </w:rPr>
  </w:style>
  <w:style w:type="character" w:customStyle="1" w:styleId="CommentSubjectChar">
    <w:name w:val="Comment Subject Char"/>
    <w:link w:val="CommentSubject"/>
    <w:uiPriority w:val="99"/>
    <w:semiHidden/>
    <w:rsid w:val="00CC0DEF"/>
    <w:rPr>
      <w:b/>
      <w:bCs/>
    </w:rPr>
  </w:style>
  <w:style w:type="character" w:customStyle="1" w:styleId="Heading2Char">
    <w:name w:val="Heading 2 Char"/>
    <w:link w:val="Heading2"/>
    <w:uiPriority w:val="9"/>
    <w:semiHidden/>
    <w:rsid w:val="00F8539B"/>
    <w:rPr>
      <w:rFonts w:ascii="Times New Roman" w:eastAsia="Times New Roman" w:hAnsi="Times New Roman" w:cs="Times New Roman"/>
      <w:b/>
      <w:bCs/>
      <w:color w:val="4F81BD"/>
      <w:sz w:val="26"/>
      <w:szCs w:val="26"/>
      <w:lang w:val="en-US" w:eastAsia="en-US"/>
    </w:rPr>
  </w:style>
  <w:style w:type="paragraph" w:styleId="BodyTextIndent">
    <w:name w:val="Body Text Indent"/>
    <w:basedOn w:val="Normal"/>
    <w:link w:val="BodyTextIndentChar"/>
    <w:uiPriority w:val="99"/>
    <w:unhideWhenUsed/>
    <w:rsid w:val="00F8539B"/>
    <w:pPr>
      <w:spacing w:after="120"/>
      <w:ind w:left="283"/>
    </w:pPr>
  </w:style>
  <w:style w:type="character" w:customStyle="1" w:styleId="BodyTextIndentChar">
    <w:name w:val="Body Text Indent Char"/>
    <w:link w:val="BodyTextIndent"/>
    <w:uiPriority w:val="99"/>
    <w:rsid w:val="00F8539B"/>
    <w:rPr>
      <w:sz w:val="22"/>
      <w:szCs w:val="22"/>
      <w:lang w:val="en-US" w:eastAsia="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ft"/>
    <w:basedOn w:val="Normal"/>
    <w:link w:val="FootnoteTextChar"/>
    <w:uiPriority w:val="99"/>
    <w:unhideWhenUsed/>
    <w:qFormat/>
    <w:rsid w:val="002C3C6D"/>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 Char,ft Char"/>
    <w:link w:val="FootnoteText"/>
    <w:uiPriority w:val="99"/>
    <w:qFormat/>
    <w:rsid w:val="002C3C6D"/>
    <w:rPr>
      <w:lang w:val="en-US" w:eastAsia="en-US"/>
    </w:rPr>
  </w:style>
  <w:style w:type="character" w:styleId="FootnoteReference">
    <w:name w:val="footnote reference"/>
    <w:aliases w:val="Footnote,Footnote text,ftref,Footnote text + 13 pt,Ref,de nota al pie,BearingPoint,BVI fnr,16 Point,Superscript 6 Point,fr,Footnote Text1,Footnote + Arial,10 pt,Footnote Text11,(NECG) Footnote Reference, BVI fnr,footnote ref,R,Re"/>
    <w:link w:val="4GCharCharChar"/>
    <w:uiPriority w:val="99"/>
    <w:unhideWhenUsed/>
    <w:qFormat/>
    <w:rsid w:val="002C3C6D"/>
    <w:rPr>
      <w:vertAlign w:val="superscript"/>
    </w:rPr>
  </w:style>
  <w:style w:type="character" w:customStyle="1" w:styleId="UnresolvedMention1">
    <w:name w:val="Unresolved Mention1"/>
    <w:uiPriority w:val="99"/>
    <w:semiHidden/>
    <w:unhideWhenUsed/>
    <w:rsid w:val="00F74614"/>
    <w:rPr>
      <w:color w:val="605E5C"/>
      <w:shd w:val="clear" w:color="auto" w:fill="E1DFDD"/>
    </w:rPr>
  </w:style>
  <w:style w:type="paragraph" w:styleId="BodyText">
    <w:name w:val="Body Text"/>
    <w:basedOn w:val="Normal"/>
    <w:link w:val="BodyTextChar"/>
    <w:uiPriority w:val="99"/>
    <w:semiHidden/>
    <w:unhideWhenUsed/>
    <w:rsid w:val="009D1907"/>
    <w:pPr>
      <w:spacing w:after="120"/>
    </w:pPr>
  </w:style>
  <w:style w:type="character" w:customStyle="1" w:styleId="BodyTextChar">
    <w:name w:val="Body Text Char"/>
    <w:basedOn w:val="DefaultParagraphFont"/>
    <w:link w:val="BodyText"/>
    <w:uiPriority w:val="99"/>
    <w:semiHidden/>
    <w:rsid w:val="009D1907"/>
    <w:rPr>
      <w:sz w:val="22"/>
      <w:szCs w:val="22"/>
    </w:rPr>
  </w:style>
  <w:style w:type="character" w:customStyle="1" w:styleId="doclink">
    <w:name w:val="doclink"/>
    <w:basedOn w:val="DefaultParagraphFont"/>
    <w:rsid w:val="00D85AC0"/>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1,Char Char Char Char Char Char Char Char Char Char Char Char,Char Char Char"/>
    <w:link w:val="NormalWeb"/>
    <w:uiPriority w:val="99"/>
    <w:qFormat/>
    <w:locked/>
    <w:rsid w:val="00850182"/>
    <w:rPr>
      <w:rFonts w:ascii="Verdana" w:eastAsia="Times New Roman" w:hAnsi="Verdana"/>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link w:val="FootnoteReference"/>
    <w:uiPriority w:val="99"/>
    <w:qFormat/>
    <w:rsid w:val="007742EC"/>
    <w:pPr>
      <w:spacing w:before="100" w:after="0" w:line="240" w:lineRule="exact"/>
    </w:pPr>
    <w:rPr>
      <w:sz w:val="20"/>
      <w:szCs w:val="20"/>
      <w:vertAlign w:val="superscript"/>
    </w:rPr>
  </w:style>
  <w:style w:type="character" w:styleId="Strong">
    <w:name w:val="Strong"/>
    <w:basedOn w:val="DefaultParagraphFont"/>
    <w:uiPriority w:val="22"/>
    <w:qFormat/>
    <w:rsid w:val="003574D7"/>
    <w:rPr>
      <w:b/>
      <w:bCs/>
    </w:rPr>
  </w:style>
</w:styles>
</file>

<file path=word/webSettings.xml><?xml version="1.0" encoding="utf-8"?>
<w:webSettings xmlns:r="http://schemas.openxmlformats.org/officeDocument/2006/relationships" xmlns:w="http://schemas.openxmlformats.org/wordprocessingml/2006/main">
  <w:divs>
    <w:div w:id="121584489">
      <w:bodyDiv w:val="1"/>
      <w:marLeft w:val="0"/>
      <w:marRight w:val="0"/>
      <w:marTop w:val="0"/>
      <w:marBottom w:val="0"/>
      <w:divBdr>
        <w:top w:val="none" w:sz="0" w:space="0" w:color="auto"/>
        <w:left w:val="none" w:sz="0" w:space="0" w:color="auto"/>
        <w:bottom w:val="none" w:sz="0" w:space="0" w:color="auto"/>
        <w:right w:val="none" w:sz="0" w:space="0" w:color="auto"/>
      </w:divBdr>
    </w:div>
    <w:div w:id="170218803">
      <w:bodyDiv w:val="1"/>
      <w:marLeft w:val="0"/>
      <w:marRight w:val="0"/>
      <w:marTop w:val="0"/>
      <w:marBottom w:val="0"/>
      <w:divBdr>
        <w:top w:val="none" w:sz="0" w:space="0" w:color="auto"/>
        <w:left w:val="none" w:sz="0" w:space="0" w:color="auto"/>
        <w:bottom w:val="none" w:sz="0" w:space="0" w:color="auto"/>
        <w:right w:val="none" w:sz="0" w:space="0" w:color="auto"/>
      </w:divBdr>
    </w:div>
    <w:div w:id="213011493">
      <w:bodyDiv w:val="1"/>
      <w:marLeft w:val="0"/>
      <w:marRight w:val="0"/>
      <w:marTop w:val="0"/>
      <w:marBottom w:val="0"/>
      <w:divBdr>
        <w:top w:val="none" w:sz="0" w:space="0" w:color="auto"/>
        <w:left w:val="none" w:sz="0" w:space="0" w:color="auto"/>
        <w:bottom w:val="none" w:sz="0" w:space="0" w:color="auto"/>
        <w:right w:val="none" w:sz="0" w:space="0" w:color="auto"/>
      </w:divBdr>
      <w:divsChild>
        <w:div w:id="268004800">
          <w:marLeft w:val="0"/>
          <w:marRight w:val="0"/>
          <w:marTop w:val="0"/>
          <w:marBottom w:val="0"/>
          <w:divBdr>
            <w:top w:val="none" w:sz="0" w:space="0" w:color="auto"/>
            <w:left w:val="none" w:sz="0" w:space="0" w:color="auto"/>
            <w:bottom w:val="none" w:sz="0" w:space="0" w:color="auto"/>
            <w:right w:val="none" w:sz="0" w:space="0" w:color="auto"/>
          </w:divBdr>
          <w:divsChild>
            <w:div w:id="44110926">
              <w:marLeft w:val="0"/>
              <w:marRight w:val="0"/>
              <w:marTop w:val="0"/>
              <w:marBottom w:val="0"/>
              <w:divBdr>
                <w:top w:val="none" w:sz="0" w:space="0" w:color="auto"/>
                <w:left w:val="none" w:sz="0" w:space="0" w:color="auto"/>
                <w:bottom w:val="none" w:sz="0" w:space="0" w:color="auto"/>
                <w:right w:val="none" w:sz="0" w:space="0" w:color="auto"/>
              </w:divBdr>
              <w:divsChild>
                <w:div w:id="142621631">
                  <w:marLeft w:val="0"/>
                  <w:marRight w:val="0"/>
                  <w:marTop w:val="0"/>
                  <w:marBottom w:val="0"/>
                  <w:divBdr>
                    <w:top w:val="none" w:sz="0" w:space="0" w:color="auto"/>
                    <w:left w:val="none" w:sz="0" w:space="0" w:color="auto"/>
                    <w:bottom w:val="none" w:sz="0" w:space="0" w:color="auto"/>
                    <w:right w:val="none" w:sz="0" w:space="0" w:color="auto"/>
                  </w:divBdr>
                </w:div>
                <w:div w:id="311913928">
                  <w:marLeft w:val="0"/>
                  <w:marRight w:val="0"/>
                  <w:marTop w:val="0"/>
                  <w:marBottom w:val="0"/>
                  <w:divBdr>
                    <w:top w:val="none" w:sz="0" w:space="0" w:color="auto"/>
                    <w:left w:val="none" w:sz="0" w:space="0" w:color="auto"/>
                    <w:bottom w:val="none" w:sz="0" w:space="0" w:color="auto"/>
                    <w:right w:val="none" w:sz="0" w:space="0" w:color="auto"/>
                  </w:divBdr>
                </w:div>
                <w:div w:id="401299316">
                  <w:marLeft w:val="0"/>
                  <w:marRight w:val="0"/>
                  <w:marTop w:val="0"/>
                  <w:marBottom w:val="0"/>
                  <w:divBdr>
                    <w:top w:val="none" w:sz="0" w:space="0" w:color="auto"/>
                    <w:left w:val="none" w:sz="0" w:space="0" w:color="auto"/>
                    <w:bottom w:val="none" w:sz="0" w:space="0" w:color="auto"/>
                    <w:right w:val="none" w:sz="0" w:space="0" w:color="auto"/>
                  </w:divBdr>
                </w:div>
                <w:div w:id="418142992">
                  <w:marLeft w:val="0"/>
                  <w:marRight w:val="0"/>
                  <w:marTop w:val="0"/>
                  <w:marBottom w:val="0"/>
                  <w:divBdr>
                    <w:top w:val="none" w:sz="0" w:space="0" w:color="auto"/>
                    <w:left w:val="none" w:sz="0" w:space="0" w:color="auto"/>
                    <w:bottom w:val="none" w:sz="0" w:space="0" w:color="auto"/>
                    <w:right w:val="none" w:sz="0" w:space="0" w:color="auto"/>
                  </w:divBdr>
                </w:div>
                <w:div w:id="439450763">
                  <w:marLeft w:val="0"/>
                  <w:marRight w:val="0"/>
                  <w:marTop w:val="0"/>
                  <w:marBottom w:val="0"/>
                  <w:divBdr>
                    <w:top w:val="none" w:sz="0" w:space="0" w:color="auto"/>
                    <w:left w:val="none" w:sz="0" w:space="0" w:color="auto"/>
                    <w:bottom w:val="none" w:sz="0" w:space="0" w:color="auto"/>
                    <w:right w:val="none" w:sz="0" w:space="0" w:color="auto"/>
                  </w:divBdr>
                </w:div>
                <w:div w:id="571937010">
                  <w:marLeft w:val="0"/>
                  <w:marRight w:val="0"/>
                  <w:marTop w:val="0"/>
                  <w:marBottom w:val="0"/>
                  <w:divBdr>
                    <w:top w:val="none" w:sz="0" w:space="0" w:color="auto"/>
                    <w:left w:val="none" w:sz="0" w:space="0" w:color="auto"/>
                    <w:bottom w:val="none" w:sz="0" w:space="0" w:color="auto"/>
                    <w:right w:val="none" w:sz="0" w:space="0" w:color="auto"/>
                  </w:divBdr>
                </w:div>
                <w:div w:id="592204273">
                  <w:marLeft w:val="0"/>
                  <w:marRight w:val="0"/>
                  <w:marTop w:val="0"/>
                  <w:marBottom w:val="0"/>
                  <w:divBdr>
                    <w:top w:val="none" w:sz="0" w:space="0" w:color="auto"/>
                    <w:left w:val="none" w:sz="0" w:space="0" w:color="auto"/>
                    <w:bottom w:val="none" w:sz="0" w:space="0" w:color="auto"/>
                    <w:right w:val="none" w:sz="0" w:space="0" w:color="auto"/>
                  </w:divBdr>
                </w:div>
                <w:div w:id="614604885">
                  <w:marLeft w:val="0"/>
                  <w:marRight w:val="0"/>
                  <w:marTop w:val="0"/>
                  <w:marBottom w:val="0"/>
                  <w:divBdr>
                    <w:top w:val="none" w:sz="0" w:space="0" w:color="auto"/>
                    <w:left w:val="none" w:sz="0" w:space="0" w:color="auto"/>
                    <w:bottom w:val="none" w:sz="0" w:space="0" w:color="auto"/>
                    <w:right w:val="none" w:sz="0" w:space="0" w:color="auto"/>
                  </w:divBdr>
                </w:div>
                <w:div w:id="673267135">
                  <w:marLeft w:val="0"/>
                  <w:marRight w:val="0"/>
                  <w:marTop w:val="0"/>
                  <w:marBottom w:val="0"/>
                  <w:divBdr>
                    <w:top w:val="none" w:sz="0" w:space="0" w:color="auto"/>
                    <w:left w:val="none" w:sz="0" w:space="0" w:color="auto"/>
                    <w:bottom w:val="none" w:sz="0" w:space="0" w:color="auto"/>
                    <w:right w:val="none" w:sz="0" w:space="0" w:color="auto"/>
                  </w:divBdr>
                </w:div>
                <w:div w:id="700326097">
                  <w:marLeft w:val="0"/>
                  <w:marRight w:val="0"/>
                  <w:marTop w:val="0"/>
                  <w:marBottom w:val="0"/>
                  <w:divBdr>
                    <w:top w:val="none" w:sz="0" w:space="0" w:color="auto"/>
                    <w:left w:val="none" w:sz="0" w:space="0" w:color="auto"/>
                    <w:bottom w:val="none" w:sz="0" w:space="0" w:color="auto"/>
                    <w:right w:val="none" w:sz="0" w:space="0" w:color="auto"/>
                  </w:divBdr>
                </w:div>
                <w:div w:id="817527863">
                  <w:marLeft w:val="0"/>
                  <w:marRight w:val="0"/>
                  <w:marTop w:val="0"/>
                  <w:marBottom w:val="0"/>
                  <w:divBdr>
                    <w:top w:val="none" w:sz="0" w:space="0" w:color="auto"/>
                    <w:left w:val="none" w:sz="0" w:space="0" w:color="auto"/>
                    <w:bottom w:val="none" w:sz="0" w:space="0" w:color="auto"/>
                    <w:right w:val="none" w:sz="0" w:space="0" w:color="auto"/>
                  </w:divBdr>
                </w:div>
                <w:div w:id="950552966">
                  <w:marLeft w:val="0"/>
                  <w:marRight w:val="0"/>
                  <w:marTop w:val="0"/>
                  <w:marBottom w:val="0"/>
                  <w:divBdr>
                    <w:top w:val="none" w:sz="0" w:space="0" w:color="auto"/>
                    <w:left w:val="none" w:sz="0" w:space="0" w:color="auto"/>
                    <w:bottom w:val="none" w:sz="0" w:space="0" w:color="auto"/>
                    <w:right w:val="none" w:sz="0" w:space="0" w:color="auto"/>
                  </w:divBdr>
                </w:div>
                <w:div w:id="1025252885">
                  <w:marLeft w:val="0"/>
                  <w:marRight w:val="0"/>
                  <w:marTop w:val="0"/>
                  <w:marBottom w:val="0"/>
                  <w:divBdr>
                    <w:top w:val="none" w:sz="0" w:space="0" w:color="auto"/>
                    <w:left w:val="none" w:sz="0" w:space="0" w:color="auto"/>
                    <w:bottom w:val="none" w:sz="0" w:space="0" w:color="auto"/>
                    <w:right w:val="none" w:sz="0" w:space="0" w:color="auto"/>
                  </w:divBdr>
                </w:div>
                <w:div w:id="1414930399">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1746145270">
                  <w:marLeft w:val="0"/>
                  <w:marRight w:val="0"/>
                  <w:marTop w:val="0"/>
                  <w:marBottom w:val="0"/>
                  <w:divBdr>
                    <w:top w:val="none" w:sz="0" w:space="0" w:color="auto"/>
                    <w:left w:val="none" w:sz="0" w:space="0" w:color="auto"/>
                    <w:bottom w:val="none" w:sz="0" w:space="0" w:color="auto"/>
                    <w:right w:val="none" w:sz="0" w:space="0" w:color="auto"/>
                  </w:divBdr>
                </w:div>
                <w:div w:id="1914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5529">
      <w:bodyDiv w:val="1"/>
      <w:marLeft w:val="0"/>
      <w:marRight w:val="0"/>
      <w:marTop w:val="0"/>
      <w:marBottom w:val="0"/>
      <w:divBdr>
        <w:top w:val="none" w:sz="0" w:space="0" w:color="auto"/>
        <w:left w:val="none" w:sz="0" w:space="0" w:color="auto"/>
        <w:bottom w:val="none" w:sz="0" w:space="0" w:color="auto"/>
        <w:right w:val="none" w:sz="0" w:space="0" w:color="auto"/>
      </w:divBdr>
    </w:div>
    <w:div w:id="227881644">
      <w:bodyDiv w:val="1"/>
      <w:marLeft w:val="0"/>
      <w:marRight w:val="0"/>
      <w:marTop w:val="0"/>
      <w:marBottom w:val="0"/>
      <w:divBdr>
        <w:top w:val="none" w:sz="0" w:space="0" w:color="auto"/>
        <w:left w:val="none" w:sz="0" w:space="0" w:color="auto"/>
        <w:bottom w:val="none" w:sz="0" w:space="0" w:color="auto"/>
        <w:right w:val="none" w:sz="0" w:space="0" w:color="auto"/>
      </w:divBdr>
    </w:div>
    <w:div w:id="236062238">
      <w:bodyDiv w:val="1"/>
      <w:marLeft w:val="0"/>
      <w:marRight w:val="0"/>
      <w:marTop w:val="0"/>
      <w:marBottom w:val="0"/>
      <w:divBdr>
        <w:top w:val="none" w:sz="0" w:space="0" w:color="auto"/>
        <w:left w:val="none" w:sz="0" w:space="0" w:color="auto"/>
        <w:bottom w:val="none" w:sz="0" w:space="0" w:color="auto"/>
        <w:right w:val="none" w:sz="0" w:space="0" w:color="auto"/>
      </w:divBdr>
    </w:div>
    <w:div w:id="365908468">
      <w:bodyDiv w:val="1"/>
      <w:marLeft w:val="0"/>
      <w:marRight w:val="0"/>
      <w:marTop w:val="0"/>
      <w:marBottom w:val="0"/>
      <w:divBdr>
        <w:top w:val="none" w:sz="0" w:space="0" w:color="auto"/>
        <w:left w:val="none" w:sz="0" w:space="0" w:color="auto"/>
        <w:bottom w:val="none" w:sz="0" w:space="0" w:color="auto"/>
        <w:right w:val="none" w:sz="0" w:space="0" w:color="auto"/>
      </w:divBdr>
    </w:div>
    <w:div w:id="505634354">
      <w:bodyDiv w:val="1"/>
      <w:marLeft w:val="0"/>
      <w:marRight w:val="0"/>
      <w:marTop w:val="0"/>
      <w:marBottom w:val="0"/>
      <w:divBdr>
        <w:top w:val="none" w:sz="0" w:space="0" w:color="auto"/>
        <w:left w:val="none" w:sz="0" w:space="0" w:color="auto"/>
        <w:bottom w:val="none" w:sz="0" w:space="0" w:color="auto"/>
        <w:right w:val="none" w:sz="0" w:space="0" w:color="auto"/>
      </w:divBdr>
    </w:div>
    <w:div w:id="511143965">
      <w:bodyDiv w:val="1"/>
      <w:marLeft w:val="0"/>
      <w:marRight w:val="0"/>
      <w:marTop w:val="0"/>
      <w:marBottom w:val="0"/>
      <w:divBdr>
        <w:top w:val="none" w:sz="0" w:space="0" w:color="auto"/>
        <w:left w:val="none" w:sz="0" w:space="0" w:color="auto"/>
        <w:bottom w:val="none" w:sz="0" w:space="0" w:color="auto"/>
        <w:right w:val="none" w:sz="0" w:space="0" w:color="auto"/>
      </w:divBdr>
    </w:div>
    <w:div w:id="513035622">
      <w:bodyDiv w:val="1"/>
      <w:marLeft w:val="0"/>
      <w:marRight w:val="0"/>
      <w:marTop w:val="0"/>
      <w:marBottom w:val="0"/>
      <w:divBdr>
        <w:top w:val="none" w:sz="0" w:space="0" w:color="auto"/>
        <w:left w:val="none" w:sz="0" w:space="0" w:color="auto"/>
        <w:bottom w:val="none" w:sz="0" w:space="0" w:color="auto"/>
        <w:right w:val="none" w:sz="0" w:space="0" w:color="auto"/>
      </w:divBdr>
    </w:div>
    <w:div w:id="643706933">
      <w:bodyDiv w:val="1"/>
      <w:marLeft w:val="0"/>
      <w:marRight w:val="0"/>
      <w:marTop w:val="0"/>
      <w:marBottom w:val="0"/>
      <w:divBdr>
        <w:top w:val="none" w:sz="0" w:space="0" w:color="auto"/>
        <w:left w:val="none" w:sz="0" w:space="0" w:color="auto"/>
        <w:bottom w:val="none" w:sz="0" w:space="0" w:color="auto"/>
        <w:right w:val="none" w:sz="0" w:space="0" w:color="auto"/>
      </w:divBdr>
    </w:div>
    <w:div w:id="699865536">
      <w:bodyDiv w:val="1"/>
      <w:marLeft w:val="0"/>
      <w:marRight w:val="0"/>
      <w:marTop w:val="0"/>
      <w:marBottom w:val="0"/>
      <w:divBdr>
        <w:top w:val="none" w:sz="0" w:space="0" w:color="auto"/>
        <w:left w:val="none" w:sz="0" w:space="0" w:color="auto"/>
        <w:bottom w:val="none" w:sz="0" w:space="0" w:color="auto"/>
        <w:right w:val="none" w:sz="0" w:space="0" w:color="auto"/>
      </w:divBdr>
    </w:div>
    <w:div w:id="741608900">
      <w:bodyDiv w:val="1"/>
      <w:marLeft w:val="0"/>
      <w:marRight w:val="0"/>
      <w:marTop w:val="0"/>
      <w:marBottom w:val="0"/>
      <w:divBdr>
        <w:top w:val="none" w:sz="0" w:space="0" w:color="auto"/>
        <w:left w:val="none" w:sz="0" w:space="0" w:color="auto"/>
        <w:bottom w:val="none" w:sz="0" w:space="0" w:color="auto"/>
        <w:right w:val="none" w:sz="0" w:space="0" w:color="auto"/>
      </w:divBdr>
    </w:div>
    <w:div w:id="778841156">
      <w:bodyDiv w:val="1"/>
      <w:marLeft w:val="0"/>
      <w:marRight w:val="0"/>
      <w:marTop w:val="0"/>
      <w:marBottom w:val="0"/>
      <w:divBdr>
        <w:top w:val="none" w:sz="0" w:space="0" w:color="auto"/>
        <w:left w:val="none" w:sz="0" w:space="0" w:color="auto"/>
        <w:bottom w:val="none" w:sz="0" w:space="0" w:color="auto"/>
        <w:right w:val="none" w:sz="0" w:space="0" w:color="auto"/>
      </w:divBdr>
    </w:div>
    <w:div w:id="916013718">
      <w:bodyDiv w:val="1"/>
      <w:marLeft w:val="0"/>
      <w:marRight w:val="0"/>
      <w:marTop w:val="0"/>
      <w:marBottom w:val="0"/>
      <w:divBdr>
        <w:top w:val="none" w:sz="0" w:space="0" w:color="auto"/>
        <w:left w:val="none" w:sz="0" w:space="0" w:color="auto"/>
        <w:bottom w:val="none" w:sz="0" w:space="0" w:color="auto"/>
        <w:right w:val="none" w:sz="0" w:space="0" w:color="auto"/>
      </w:divBdr>
    </w:div>
    <w:div w:id="944190147">
      <w:bodyDiv w:val="1"/>
      <w:marLeft w:val="0"/>
      <w:marRight w:val="0"/>
      <w:marTop w:val="0"/>
      <w:marBottom w:val="0"/>
      <w:divBdr>
        <w:top w:val="none" w:sz="0" w:space="0" w:color="auto"/>
        <w:left w:val="none" w:sz="0" w:space="0" w:color="auto"/>
        <w:bottom w:val="none" w:sz="0" w:space="0" w:color="auto"/>
        <w:right w:val="none" w:sz="0" w:space="0" w:color="auto"/>
      </w:divBdr>
      <w:divsChild>
        <w:div w:id="832641950">
          <w:marLeft w:val="0"/>
          <w:marRight w:val="0"/>
          <w:marTop w:val="120"/>
          <w:marBottom w:val="120"/>
          <w:divBdr>
            <w:top w:val="none" w:sz="0" w:space="0" w:color="auto"/>
            <w:left w:val="none" w:sz="0" w:space="0" w:color="auto"/>
            <w:bottom w:val="none" w:sz="0" w:space="0" w:color="auto"/>
            <w:right w:val="none" w:sz="0" w:space="0" w:color="auto"/>
          </w:divBdr>
          <w:divsChild>
            <w:div w:id="1911497071">
              <w:marLeft w:val="0"/>
              <w:marRight w:val="0"/>
              <w:marTop w:val="0"/>
              <w:marBottom w:val="0"/>
              <w:divBdr>
                <w:top w:val="none" w:sz="0" w:space="0" w:color="auto"/>
                <w:left w:val="none" w:sz="0" w:space="0" w:color="auto"/>
                <w:bottom w:val="none" w:sz="0" w:space="0" w:color="auto"/>
                <w:right w:val="none" w:sz="0" w:space="0" w:color="auto"/>
              </w:divBdr>
            </w:div>
          </w:divsChild>
        </w:div>
        <w:div w:id="1862626745">
          <w:marLeft w:val="0"/>
          <w:marRight w:val="0"/>
          <w:marTop w:val="120"/>
          <w:marBottom w:val="120"/>
          <w:divBdr>
            <w:top w:val="none" w:sz="0" w:space="0" w:color="auto"/>
            <w:left w:val="none" w:sz="0" w:space="0" w:color="auto"/>
            <w:bottom w:val="none" w:sz="0" w:space="0" w:color="auto"/>
            <w:right w:val="none" w:sz="0" w:space="0" w:color="auto"/>
          </w:divBdr>
          <w:divsChild>
            <w:div w:id="36316589">
              <w:marLeft w:val="0"/>
              <w:marRight w:val="0"/>
              <w:marTop w:val="0"/>
              <w:marBottom w:val="0"/>
              <w:divBdr>
                <w:top w:val="none" w:sz="0" w:space="0" w:color="auto"/>
                <w:left w:val="none" w:sz="0" w:space="0" w:color="auto"/>
                <w:bottom w:val="none" w:sz="0" w:space="0" w:color="auto"/>
                <w:right w:val="none" w:sz="0" w:space="0" w:color="auto"/>
              </w:divBdr>
            </w:div>
          </w:divsChild>
        </w:div>
        <w:div w:id="2124878090">
          <w:marLeft w:val="0"/>
          <w:marRight w:val="0"/>
          <w:marTop w:val="120"/>
          <w:marBottom w:val="120"/>
          <w:divBdr>
            <w:top w:val="none" w:sz="0" w:space="0" w:color="auto"/>
            <w:left w:val="none" w:sz="0" w:space="0" w:color="auto"/>
            <w:bottom w:val="none" w:sz="0" w:space="0" w:color="auto"/>
            <w:right w:val="none" w:sz="0" w:space="0" w:color="auto"/>
          </w:divBdr>
          <w:divsChild>
            <w:div w:id="20633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4075">
      <w:bodyDiv w:val="1"/>
      <w:marLeft w:val="0"/>
      <w:marRight w:val="0"/>
      <w:marTop w:val="0"/>
      <w:marBottom w:val="0"/>
      <w:divBdr>
        <w:top w:val="none" w:sz="0" w:space="0" w:color="auto"/>
        <w:left w:val="none" w:sz="0" w:space="0" w:color="auto"/>
        <w:bottom w:val="none" w:sz="0" w:space="0" w:color="auto"/>
        <w:right w:val="none" w:sz="0" w:space="0" w:color="auto"/>
      </w:divBdr>
    </w:div>
    <w:div w:id="1042750157">
      <w:bodyDiv w:val="1"/>
      <w:marLeft w:val="0"/>
      <w:marRight w:val="0"/>
      <w:marTop w:val="0"/>
      <w:marBottom w:val="0"/>
      <w:divBdr>
        <w:top w:val="none" w:sz="0" w:space="0" w:color="auto"/>
        <w:left w:val="none" w:sz="0" w:space="0" w:color="auto"/>
        <w:bottom w:val="none" w:sz="0" w:space="0" w:color="auto"/>
        <w:right w:val="none" w:sz="0" w:space="0" w:color="auto"/>
      </w:divBdr>
    </w:div>
    <w:div w:id="1192954133">
      <w:bodyDiv w:val="1"/>
      <w:marLeft w:val="0"/>
      <w:marRight w:val="0"/>
      <w:marTop w:val="0"/>
      <w:marBottom w:val="0"/>
      <w:divBdr>
        <w:top w:val="none" w:sz="0" w:space="0" w:color="auto"/>
        <w:left w:val="none" w:sz="0" w:space="0" w:color="auto"/>
        <w:bottom w:val="none" w:sz="0" w:space="0" w:color="auto"/>
        <w:right w:val="none" w:sz="0" w:space="0" w:color="auto"/>
      </w:divBdr>
    </w:div>
    <w:div w:id="1242636525">
      <w:bodyDiv w:val="1"/>
      <w:marLeft w:val="0"/>
      <w:marRight w:val="0"/>
      <w:marTop w:val="0"/>
      <w:marBottom w:val="0"/>
      <w:divBdr>
        <w:top w:val="none" w:sz="0" w:space="0" w:color="auto"/>
        <w:left w:val="none" w:sz="0" w:space="0" w:color="auto"/>
        <w:bottom w:val="none" w:sz="0" w:space="0" w:color="auto"/>
        <w:right w:val="none" w:sz="0" w:space="0" w:color="auto"/>
      </w:divBdr>
    </w:div>
    <w:div w:id="1292128543">
      <w:bodyDiv w:val="1"/>
      <w:marLeft w:val="0"/>
      <w:marRight w:val="0"/>
      <w:marTop w:val="0"/>
      <w:marBottom w:val="0"/>
      <w:divBdr>
        <w:top w:val="none" w:sz="0" w:space="0" w:color="auto"/>
        <w:left w:val="none" w:sz="0" w:space="0" w:color="auto"/>
        <w:bottom w:val="none" w:sz="0" w:space="0" w:color="auto"/>
        <w:right w:val="none" w:sz="0" w:space="0" w:color="auto"/>
      </w:divBdr>
    </w:div>
    <w:div w:id="1338649616">
      <w:bodyDiv w:val="1"/>
      <w:marLeft w:val="0"/>
      <w:marRight w:val="0"/>
      <w:marTop w:val="0"/>
      <w:marBottom w:val="0"/>
      <w:divBdr>
        <w:top w:val="none" w:sz="0" w:space="0" w:color="auto"/>
        <w:left w:val="none" w:sz="0" w:space="0" w:color="auto"/>
        <w:bottom w:val="none" w:sz="0" w:space="0" w:color="auto"/>
        <w:right w:val="none" w:sz="0" w:space="0" w:color="auto"/>
      </w:divBdr>
    </w:div>
    <w:div w:id="1389836723">
      <w:bodyDiv w:val="1"/>
      <w:marLeft w:val="0"/>
      <w:marRight w:val="0"/>
      <w:marTop w:val="0"/>
      <w:marBottom w:val="0"/>
      <w:divBdr>
        <w:top w:val="none" w:sz="0" w:space="0" w:color="auto"/>
        <w:left w:val="none" w:sz="0" w:space="0" w:color="auto"/>
        <w:bottom w:val="none" w:sz="0" w:space="0" w:color="auto"/>
        <w:right w:val="none" w:sz="0" w:space="0" w:color="auto"/>
      </w:divBdr>
    </w:div>
    <w:div w:id="1426338455">
      <w:bodyDiv w:val="1"/>
      <w:marLeft w:val="0"/>
      <w:marRight w:val="0"/>
      <w:marTop w:val="0"/>
      <w:marBottom w:val="0"/>
      <w:divBdr>
        <w:top w:val="none" w:sz="0" w:space="0" w:color="auto"/>
        <w:left w:val="none" w:sz="0" w:space="0" w:color="auto"/>
        <w:bottom w:val="none" w:sz="0" w:space="0" w:color="auto"/>
        <w:right w:val="none" w:sz="0" w:space="0" w:color="auto"/>
      </w:divBdr>
    </w:div>
    <w:div w:id="1478574279">
      <w:bodyDiv w:val="1"/>
      <w:marLeft w:val="0"/>
      <w:marRight w:val="0"/>
      <w:marTop w:val="0"/>
      <w:marBottom w:val="0"/>
      <w:divBdr>
        <w:top w:val="none" w:sz="0" w:space="0" w:color="auto"/>
        <w:left w:val="none" w:sz="0" w:space="0" w:color="auto"/>
        <w:bottom w:val="none" w:sz="0" w:space="0" w:color="auto"/>
        <w:right w:val="none" w:sz="0" w:space="0" w:color="auto"/>
      </w:divBdr>
    </w:div>
    <w:div w:id="1548646391">
      <w:bodyDiv w:val="1"/>
      <w:marLeft w:val="0"/>
      <w:marRight w:val="0"/>
      <w:marTop w:val="0"/>
      <w:marBottom w:val="0"/>
      <w:divBdr>
        <w:top w:val="none" w:sz="0" w:space="0" w:color="auto"/>
        <w:left w:val="none" w:sz="0" w:space="0" w:color="auto"/>
        <w:bottom w:val="none" w:sz="0" w:space="0" w:color="auto"/>
        <w:right w:val="none" w:sz="0" w:space="0" w:color="auto"/>
      </w:divBdr>
    </w:div>
    <w:div w:id="1600219349">
      <w:bodyDiv w:val="1"/>
      <w:marLeft w:val="0"/>
      <w:marRight w:val="0"/>
      <w:marTop w:val="0"/>
      <w:marBottom w:val="0"/>
      <w:divBdr>
        <w:top w:val="none" w:sz="0" w:space="0" w:color="auto"/>
        <w:left w:val="none" w:sz="0" w:space="0" w:color="auto"/>
        <w:bottom w:val="none" w:sz="0" w:space="0" w:color="auto"/>
        <w:right w:val="none" w:sz="0" w:space="0" w:color="auto"/>
      </w:divBdr>
    </w:div>
    <w:div w:id="1619753919">
      <w:bodyDiv w:val="1"/>
      <w:marLeft w:val="0"/>
      <w:marRight w:val="0"/>
      <w:marTop w:val="0"/>
      <w:marBottom w:val="0"/>
      <w:divBdr>
        <w:top w:val="none" w:sz="0" w:space="0" w:color="auto"/>
        <w:left w:val="none" w:sz="0" w:space="0" w:color="auto"/>
        <w:bottom w:val="none" w:sz="0" w:space="0" w:color="auto"/>
        <w:right w:val="none" w:sz="0" w:space="0" w:color="auto"/>
      </w:divBdr>
    </w:div>
    <w:div w:id="1666863151">
      <w:bodyDiv w:val="1"/>
      <w:marLeft w:val="0"/>
      <w:marRight w:val="0"/>
      <w:marTop w:val="0"/>
      <w:marBottom w:val="0"/>
      <w:divBdr>
        <w:top w:val="none" w:sz="0" w:space="0" w:color="auto"/>
        <w:left w:val="none" w:sz="0" w:space="0" w:color="auto"/>
        <w:bottom w:val="none" w:sz="0" w:space="0" w:color="auto"/>
        <w:right w:val="none" w:sz="0" w:space="0" w:color="auto"/>
      </w:divBdr>
    </w:div>
    <w:div w:id="1722942333">
      <w:bodyDiv w:val="1"/>
      <w:marLeft w:val="0"/>
      <w:marRight w:val="0"/>
      <w:marTop w:val="0"/>
      <w:marBottom w:val="0"/>
      <w:divBdr>
        <w:top w:val="none" w:sz="0" w:space="0" w:color="auto"/>
        <w:left w:val="none" w:sz="0" w:space="0" w:color="auto"/>
        <w:bottom w:val="none" w:sz="0" w:space="0" w:color="auto"/>
        <w:right w:val="none" w:sz="0" w:space="0" w:color="auto"/>
      </w:divBdr>
    </w:div>
    <w:div w:id="1791586594">
      <w:bodyDiv w:val="1"/>
      <w:marLeft w:val="0"/>
      <w:marRight w:val="0"/>
      <w:marTop w:val="0"/>
      <w:marBottom w:val="0"/>
      <w:divBdr>
        <w:top w:val="none" w:sz="0" w:space="0" w:color="auto"/>
        <w:left w:val="none" w:sz="0" w:space="0" w:color="auto"/>
        <w:bottom w:val="none" w:sz="0" w:space="0" w:color="auto"/>
        <w:right w:val="none" w:sz="0" w:space="0" w:color="auto"/>
      </w:divBdr>
    </w:div>
    <w:div w:id="1817339394">
      <w:bodyDiv w:val="1"/>
      <w:marLeft w:val="0"/>
      <w:marRight w:val="0"/>
      <w:marTop w:val="0"/>
      <w:marBottom w:val="0"/>
      <w:divBdr>
        <w:top w:val="none" w:sz="0" w:space="0" w:color="auto"/>
        <w:left w:val="none" w:sz="0" w:space="0" w:color="auto"/>
        <w:bottom w:val="none" w:sz="0" w:space="0" w:color="auto"/>
        <w:right w:val="none" w:sz="0" w:space="0" w:color="auto"/>
      </w:divBdr>
    </w:div>
    <w:div w:id="192021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3FE2-EE94-4C35-8F29-C2979E02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16</Pages>
  <Words>4881</Words>
  <Characters>27826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UBCKNN</Company>
  <LinksUpToDate>false</LinksUpToDate>
  <CharactersWithSpaces>32642</CharactersWithSpaces>
  <SharedDoc>false</SharedDoc>
  <HLinks>
    <vt:vector size="12" baseType="variant">
      <vt:variant>
        <vt:i4>1376320</vt:i4>
      </vt:variant>
      <vt:variant>
        <vt:i4>3</vt:i4>
      </vt:variant>
      <vt:variant>
        <vt:i4>0</vt:i4>
      </vt:variant>
      <vt:variant>
        <vt:i4>5</vt:i4>
      </vt:variant>
      <vt:variant>
        <vt:lpwstr>https://thuvienphapluat.vn/van-ban/Tai-nguyen-Moi-truong/Luat-Dia-chat-va-Khoang-san-2024-so-54-2024-QH15-578531.aspx</vt:lpwstr>
      </vt:variant>
      <vt:variant>
        <vt:lpwstr/>
      </vt:variant>
      <vt:variant>
        <vt:i4>5111887</vt:i4>
      </vt:variant>
      <vt:variant>
        <vt:i4>0</vt:i4>
      </vt:variant>
      <vt:variant>
        <vt:i4>0</vt:i4>
      </vt:variant>
      <vt:variant>
        <vt:i4>5</vt:i4>
      </vt:variant>
      <vt:variant>
        <vt:lpwstr>https://thuvienphapluat.vn/van-ban/Tai-nguyen-Moi-truong/Nghi-dinh-193-2025-ND-CP-huong-dan-Luat-Dia-chat-khoang-san-641753.aspx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minhpt</dc:creator>
  <cp:lastModifiedBy>Dao Thanh Phuong</cp:lastModifiedBy>
  <cp:revision>67</cp:revision>
  <cp:lastPrinted>2026-09-09T10:34:00Z</cp:lastPrinted>
  <dcterms:created xsi:type="dcterms:W3CDTF">2026-07-09T11:12:00Z</dcterms:created>
  <dcterms:modified xsi:type="dcterms:W3CDTF">2026-09-09T10:39:00Z</dcterms:modified>
</cp:coreProperties>
</file>