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14316:2025 về Dịch vụ vận tải - Logistics đô thị - Hướng dẫn xác định hạn chế tiếp cận trung tâm thành phố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TCVN14316:2025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14316:2025</w:t>
      </w:r>
    </w:p>
    <w:p>
      <w:r>
        <w:t>DỊCH VỤ VẬN TẢI - LOGISTICS ĐÔ THỊ - HƯỚNG DẪN XÁC ĐỊNH HẠN CHẾ TIẾP CẬN TRUNG TÂM THÀNH PHỐ</w:t>
      </w:r>
    </w:p>
    <w:p>
      <w:r>
        <w:t>Transport service     - City     logistics     -     Guideline for the definition of limited access to city centers</w:t>
      </w:r>
    </w:p>
    <w:p>
      <w:r>
        <w:t>Lời nói đầu</w:t>
      </w:r>
    </w:p>
    <w:p>
      <w:r>
        <w:t>TCVN 14316:2025 được xây dựng trên cơ sở tham khảo EN 14892:2005   Transport service   - City   logistics   -   Guideline for the definition of limited access to city centers</w:t>
      </w:r>
    </w:p>
    <w:p>
      <w:r>
        <w:t>TCVN 14316:2025 do Ban   kỹ thuật tiêu chuẩn quốc gia TCVN/TC 344    Logistics     đổi mới    biên soạn, Viện Tiêu chuẩn Chất lượng Việt Nam đề nghị, Ủy ban Tiêu chuẩn Đo lường Chất lượng Quốc gia thẩm định, Bộ Khoa học và Công nghệ công bố.</w:t>
      </w:r>
    </w:p>
    <w:p>
      <w:r>
        <w:t>DỊCH VỤ VẬN TẢI - LOGISTICS ĐÔ THỊ - HƯỚNG DẪN XÁC ĐỊNH HẠN CH    Ế     TIẾP C    Ậ    N TRUNG TÂM THÀNH PHỐ</w:t>
      </w:r>
    </w:p>
    <w:p>
      <w:r>
        <w:t>Transport service       - City       logistics       -       Guideline for the definition of limited access to city centers</w:t>
      </w:r>
    </w:p>
    <w:p>
      <w:r>
        <w:t>1  Phạm vi áp dụng</w:t>
      </w:r>
    </w:p>
    <w:p>
      <w:r>
        <w:t>Tiêu chuẩn này mô tả những hạn chế có thể có đối với việc tiếp cận các đô thị có trung tâm thành phố, khu mua sắm và các khu vực khép kín khác, đồng thời cung cấp hướng dẫn về các yếu tố liên quan nhằm tạo giao diện giữa các công ty vận tải hàng hóa và chính quyền địa phương để làm cho việc lập kế hoạch và vận hành giao thông hiệu quả hơn, ngăn chặn tình trạng tắc nghẽn trong khu vực và bảo vệ môi trường đô thị.</w:t>
      </w:r>
    </w:p>
    <w:p>
      <w:r>
        <w:t>Tiêu chuẩn này là bộ quy phạm thực hành tốt và có thể được áp dụng khi việc vận tải hiệu quả và bảo vệ môi trường đòi hỏi phải có những hạn chế.</w:t>
      </w:r>
    </w:p>
    <w:p>
      <w:r>
        <w:t>2  Tài liệu viện dẫn</w:t>
      </w:r>
    </w:p>
    <w:p>
      <w:r>
        <w:t>Tiêu chuẩn này không có tài liệu viện dẫn.</w:t>
      </w:r>
    </w:p>
    <w:p>
      <w:r>
        <w:t>3  Thuật ngữ và định nghĩa</w:t>
      </w:r>
    </w:p>
    <w:p>
      <w:r>
        <w:t>Trong tiêu chuẩn này sử dụng các thuật ngữ và định nghĩa sau:</w:t>
      </w:r>
    </w:p>
    <w:p>
      <w:r>
        <w:t>3.1</w:t>
      </w:r>
    </w:p>
    <w:p>
      <w:r>
        <w:t>Logistics     đô thị    (city logistics)</w:t>
      </w:r>
    </w:p>
    <w:p>
      <w:r>
        <w:t>Thuật ngữ chuyên môn cho việc quản lý và kiểm soát các hoạt động vận tải ở các đô thị lớn có khu mua sắm.</w:t>
      </w:r>
    </w:p>
    <w:p>
      <w:r>
        <w:t>4  Nội dung và cấu trúc</w:t>
      </w:r>
    </w:p>
    <w:p>
      <w:r>
        <w:t>4.1          Khuyến nghị chung</w:t>
      </w:r>
    </w:p>
    <w:p>
      <w:r>
        <w:t>Nếu các hạn chế được đưa ra và/hoặc thực thi ở các thành phố hoặc khu vực khép kín khác thì các hạn chế đó phải được thiết kế bằng cách sử dụng các yếu tố và hạn chế sau:</w:t>
      </w:r>
    </w:p>
    <w:p>
      <w:r>
        <w:t>- trọng lượng và kích thước của xe;</w:t>
      </w:r>
    </w:p>
    <w:p>
      <w:r>
        <w:t>- khung thời gian;</w:t>
      </w:r>
    </w:p>
    <w:p>
      <w:r>
        <w:t>-   kết cấu kỹ thuật của xe:</w:t>
      </w:r>
    </w:p>
    <w:p>
      <w:r>
        <w:t>- động cơ;</w:t>
      </w:r>
    </w:p>
    <w:p>
      <w:r>
        <w:t>- hệ thống treo;</w:t>
      </w:r>
    </w:p>
    <w:p>
      <w:r>
        <w:t>- hiệu suất xe:</w:t>
      </w:r>
    </w:p>
    <w:p>
      <w:r>
        <w:t>- sử dụng công suất;</w:t>
      </w:r>
    </w:p>
    <w:p>
      <w:r>
        <w:t>- tiếng ồn;</w:t>
      </w:r>
    </w:p>
    <w:p>
      <w:r>
        <w:t>- hệ thống thanh toán:</w:t>
      </w:r>
    </w:p>
    <w:p>
      <w:r>
        <w:t>- hệ thống thu phí;</w:t>
      </w:r>
    </w:p>
    <w:p>
      <w:r>
        <w:t>- phí đỗ xe;</w:t>
      </w:r>
    </w:p>
    <w:p>
      <w:r>
        <w:t>- lợi ích cho xe chuyên dụng:</w:t>
      </w:r>
    </w:p>
    <w:p>
      <w:r>
        <w:t>- sử dụng cơ sở hạ tầng đặc biệt như làn đường xe buýt;</w:t>
      </w:r>
    </w:p>
    <w:p>
      <w:r>
        <w:t>- khu vực tải đặc biệt.</w:t>
      </w:r>
    </w:p>
    <w:p>
      <w:r>
        <w:t>4.2          Trọng lượng và kích thước của xe</w:t>
      </w:r>
    </w:p>
    <w:p>
      <w:r>
        <w:t>Nếu các giới hạn hạn chế về trọng lượng và kích thước của xe được đưa ra và/hoặc thực thi tại các thành phố hoặc khu vực khép kín khác thì các hạn chế đó phải dựa trên các quy định pháp luật hiện hành.</w:t>
      </w:r>
    </w:p>
    <w:p>
      <w:r>
        <w:t>4.3          Khung thời gian</w:t>
      </w:r>
    </w:p>
    <w:p>
      <w:r>
        <w:t>Nếu các giới hạn hạn chế về khung thời gian hoạt động của phương tiện trong một khu vực cụ thể được đưa ra và/hoặc thực thi tại các thành phố hoặc khu vực khép kín khác, thì các hạn chế đó nên được quy định như sau:</w:t>
      </w:r>
    </w:p>
    <w:p>
      <w:r>
        <w:t>- thời điểm bắt đầu và kết thúc hạn chế đó phải được xác định theo đơn vị thời gian.</w:t>
      </w:r>
    </w:p>
    <w:p>
      <w:r>
        <w:t>- trong trường hợp có các tình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