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14177-2:2024 về Tổ chức và số hóa thông tin về công trình xây dựng, bao gồm mô hình hóa thông tin công trình (BIM) - Quản lý thông tin sử dụng mô hình hóa thông tin công trình - Phần 2: Giai đoạn chuyển giao tài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TCVN14177-2:2024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14177-2:2024</w:t>
      </w:r>
    </w:p>
    <w:p>
      <w:r>
        <w:t>TỔ CHỨC VÀ SỐ HÓA THÔNG TIN VỀ CÔNG TRÌNH XÂY DỰNG, BAO GỒM MÔ HÌNH HÓA THÔNG TIN CÔNG TRÌNH (BIM) - QUẢN LÝ THÔNG TIN SỬ DỤNG MÔ HÌNH HÓA THÔNG TIN CÔNG TRÌNH - PHẦN 2: GIAI ĐOẠN CHUYỂN GIAO TÀI SẢN</w:t>
      </w:r>
    </w:p>
    <w:p>
      <w:r>
        <w:t>Organization and digitization of information about buildings and civil engineering works, including building information modelling (BIM) - Information management using building information modelling     - Part 2: Delivery phase of the assets</w:t>
      </w:r>
    </w:p>
    <w:p>
      <w:r>
        <w:t>Lời nói đầu</w:t>
      </w:r>
    </w:p>
    <w:p>
      <w:r>
        <w:t>TCVN 14177-2:2024 được xây dựng dựa trên cơ sở tham khảo ISO 19650-2:2018.</w:t>
      </w:r>
    </w:p>
    <w:p>
      <w:r>
        <w:t>TCVN 14177-2:2024 do Tổng Công ty Tư vấn xây dựng Việt Nam - CTCP biên soạn, Bộ Xây dựng đề nghị, Ủy ban Tiêu chuẩn Đo lường Chất lượng Quốc gia thẩm định, Bộ Khoa học và C  ô  ng nghệ công bố.</w:t>
      </w:r>
    </w:p>
    <w:p>
      <w:r>
        <w:t>0  Lời giới thiệu</w:t>
      </w:r>
    </w:p>
    <w:p>
      <w:r>
        <w:t>0.1  Mục đích</w:t>
      </w:r>
    </w:p>
    <w:p>
      <w:r>
        <w:t>Mục đích tiêu chuẩn này là để cho phép bên đ  ặ  t hàng thiết lập các yêu cầu của họ về thông tin trong giai đoạn chuyển giao tài sản và cung cấp môi trường hợp tác và thương mại phù hợp trong đó (nhiều) bên thực hiện chính có thể tạo ra thông tin một cách hiệu quả và tiết kiệm.</w:t>
      </w:r>
    </w:p>
    <w:p>
      <w:r>
        <w:t>Tiêu chuẩn này có thể áp dụng cho các tài sản được xây dựng và các dự án xây dựng thuộc mọi quy mô và mọi mức độ phức tạp, bao gồm các bất động sản lớn, mạng lưới cơ sở hạ tầng, các tòa nhà riêng lẻ và các phần cơ sở hạ tầng cũng như các dự án hoặc chương trình chuyển giao. Tuy nhiên, những yêu cầu trong tiêu chuẩn này phải được áp dụng theo cách tương xứng và phù hợp với quy mô và mức độ phức tạp của tài sản hoặc dự án. Đặc biệt, việc mua sắm và huy động tài sản hoặc các bên thực hiện dự án cần được lồng ghép ở mức độ cao nhất có thể với các quy trình được văn bản hóa để mua sắm và huy động kỹ thuật.</w:t>
      </w:r>
    </w:p>
    <w:p>
      <w:r>
        <w:t>Tiêu chuẩn này sử dụng rộng rãi cụm từ “phải xem xét”, đặc biệt trong các yêu cầu ở Điều 5. Cụm từ này được sử dụng để giới thiệu danh sách các mục mà bên được đề cập cần suy nghĩ cẩn thận liên quan đến yêu cầu chính được mô tả trong điều. Các cân nhắc liên quan, thời gian cần thiết để hoàn thành và nhu cầu về bằng chứng hỗ trợ sẽ phụ thuộc vào mức độ phức tạp của dự án, k  i  nh nghiệm của (những) bên liên quan và chính sách của bất kỳ quốc gia nào về việc giới thiệu mô hình h  ó  a thông tin công trình. Trong một dự án tương đối nhỏ hoặc đơn giản, một số mục có thể hoàn thành hoặc loại bỏ vì không liên quan đến việc “phải xem xét” rất nhanh chóng.</w:t>
      </w:r>
    </w:p>
    <w:p>
      <w:r>
        <w:t>Một cách để giúp xác định nội dung trong số những nội dung “phải xem xét” có tính phù hợp có thể là xem xét từng nội dung và tạo mẫu cho các dự án có quy mô và mức độ phức tạp khác nhau.</w:t>
      </w:r>
    </w:p>
    <w:p>
      <w:r>
        <w:t>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