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14177-1:2024 về Tổ chức và số hóa thông tin về công trình xây dựng, bao gồm mô hình hóa thông tin công trình (BIM) - Quản lý thông tin sử dụng mô hình hóa thông tin công trình - Phần 1: Khái niệm và nguyên tắc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TCVN14177-1:2024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14177-1:2024</w:t>
      </w:r>
    </w:p>
    <w:p>
      <w:r>
        <w:t>TỔ CHỨC VÀ SỐ HÓA THÔNG TIN VỀ CÔNG TRÌNH XÂY DỰNG, BAO GỒM MÔ HÌNH HÓA THÔNG TIN CÔNG TRÌNH (BIM) - QUẢN LÝ THÔNG TIN SỬ DỤNG MÔ HÌNH HÓA THÔNG TIN CÔNG TRÌNH - PHẦN 1: KHÁI NIỆM VÀ NGUYÊN TẮC</w:t>
      </w:r>
    </w:p>
    <w:p>
      <w:r>
        <w:t>Organization and digitization of information about buildings and civil engineering works, including building information modelling (BIM) - Information management using building information modelling - Part 1 - Concepts and principles</w:t>
      </w:r>
    </w:p>
    <w:p>
      <w:r>
        <w:t>Lời nói đầu</w:t>
      </w:r>
    </w:p>
    <w:p>
      <w:r>
        <w:t>TCVN 14177-1:2024 được xây dựng dựa trên cơ sở tham khảo ISO 19650-1:2018.</w:t>
      </w:r>
    </w:p>
    <w:p>
      <w:r>
        <w:t>TCVN 14177-1:2024 do Tổng Công ty Tư vấn Xây dựng Việt Nam - CTCP biên soạn, Bộ Xây dựng đề nghị, Ủy ban Tiêu chuẩn Đo lường Chất lượng Quốc gia thẩm định, Bộ Khoa học và Công nghệ công bố.</w:t>
      </w:r>
    </w:p>
    <w:p>
      <w:r>
        <w:t>Lời giới thiệu</w:t>
      </w:r>
    </w:p>
    <w:p>
      <w:r>
        <w:t>Tiêu chuẩn này đưa ra các khái niệm và nguyên tắc được khuyến cáo cho các quá trình kinh doanh trong lĩnh vực xây dựng nhằm hỗ trợ việc quản lý và tạo lập thông tin trong vòng đời của tài sản xây dựng (gọi tắt là “quản lý thông tin”) khi sử dụng mô hình hóa thông tin công trình (BIM). Các quá trình này có thể mang lại kết quả kinh doanh có lợi cho chủ sở hữu/đơn vị khai thác sử dụng tài sản, khách hàng, chuỗi cung ứng của họ và những người tham gia tài trợ dự án, bao gồm cả việc mở rộng cơ hội hợp tác, giảm thiểu rủi ro và giảm chi phí thông qua việc tạo lập và sử dụng các mô hình thông tin tài sản và dự án.</w:t>
      </w:r>
    </w:p>
    <w:p>
      <w:r>
        <w:t>Tiêu chuẩn này chủ yếu dành cho:</w:t>
      </w:r>
    </w:p>
    <w:p>
      <w:r>
        <w:t>-    Những người tham gia vào việc cung cấp, thiết kế, xây dựng và/hoặc khai thác sử dụng các tài sản được xây dựng; và</w:t>
      </w:r>
    </w:p>
    <w:p>
      <w:r>
        <w:t>-    Những người tham gia vào việc thực hiện các hoạt động quản lý tài sản, bao gồm cả khai thác sử dụng và bảo trì.</w:t>
      </w:r>
    </w:p>
    <w:p>
      <w:r>
        <w:t>Tiêu chuẩn này áp dụng cho toàn bộ vòng đời của các công trình xây dựng, bao gồm các giai đoạn xác định chủ trương đầu tư, thiết kế, xây dựng, khai thác sử dụng, bảo trì và phá dỡ công trình. Tiêu chuẩn này có thể áp dụng cho các tài sản được xây dựng và các dự án thuộc mọi quy mô và mức độ phức tạp, bao gồm: các bất động sản lớn, mạng lưới cơ sở hạ tầng, các tòa nhà riêng lẻ, các thành phần của cơ sở hạ tầng cũng như các dự án hoặc tập hợp các dự án. Tuy nhiên, các khái niệm và nguyên tắc trong tiêu chuẩn này phải được áp dụng theo cách tương xứng và phù hợp với quy mô và mức độ phức tạp của tài sản hoặc dự án. Lưu ý này đặc biệt xảy ra trong trường hợp các doanh nghiệp vừa và nhỏ được chỉ định quản lý tài sản hoặc thực hiện dự án. Điều quan trọng nữa là việc cung cấp và huy động tài sản cùng với các bên tham gia dự án phải được tích hợp càng nhiều càng tốt với các quy trình cung cấp và huy động kỹ thuật.</w:t>
      </w:r>
    </w:p>
    <w:p>
      <w:r>
        <w:t>Các khái niệm và nguyên tắc trong tiêu chuẩn này nhằm vào tất cả các đối tượng tham gia vào vòng đời của một tài sản. Các đối tượng này bao gồm và không giới hạn ở chủ sở hữu/bên khai thác sử dụng tài sản, khách hàng, người quản lý tài sản, nhóm thiết 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