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14130:2024 về Giống cây lâm nghiệp - Yêu cầu kỹ thuật của phục tráng giống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TCVN14130:2024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14130:2024</w:t>
      </w:r>
    </w:p>
    <w:p>
      <w:r>
        <w:t>GIỐNG CÂY LÂM NGHIỆP - YÊU CẦU KỸ THUẬT CỦA PHỤC TRÁNG GIỐNG</w:t>
      </w:r>
    </w:p>
    <w:p>
      <w:r>
        <w:t>Forest Tree cultivar- Technical requirements for reinvigoration</w:t>
      </w:r>
    </w:p>
    <w:p>
      <w:r>
        <w:t>Lời nói đầu</w:t>
      </w:r>
    </w:p>
    <w:p>
      <w:r>
        <w:t>TCVN 14130: 2024 do Viện Khoa học Lâm nghiệp Việt Nam biên soạn, Bộ Nông nghiệp và Phát triển nông thôn đề nghị, Tổng cục Tiêu chuẩn Đo lường Chất lượng Quốc gia thẩm định, Bộ Khoa học và Công nghệ công bố.</w:t>
      </w:r>
    </w:p>
    <w:p>
      <w:r>
        <w:t>GIỐNG CÂY LÂM NGHIỆP - YÊU CẦU KỸ THUẬT CỦA PHỤC TRÁNG GIỐNG</w:t>
      </w:r>
    </w:p>
    <w:p>
      <w:r>
        <w:t>Forest Tree cultivar- Technical requirements for reinvigoration</w:t>
      </w:r>
    </w:p>
    <w:p>
      <w:r>
        <w:t>1  Phạm vi áp dụng</w:t>
      </w:r>
    </w:p>
    <w:p>
      <w:r>
        <w:t>Tiêu chuẩn này quy định yêu cầu kỹ thuật và phương pháp kiểm tra các công đoạn phục tráng bằng phương pháp nuôi cấy mô cho các giống keo và bạch đàn được công nhận.</w:t>
      </w:r>
    </w:p>
    <w:p>
      <w:r>
        <w:t>2  Tài liệu viện dẫn</w:t>
      </w:r>
    </w:p>
    <w:p>
      <w:r>
        <w:t>Các tài liệu viện dẫn sau đây là cần thiết để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11570-2: 2016,  Giống cây lâm nghiệp - Cây giống Keo - Phần 2: Keo lai.</w:t>
      </w:r>
    </w:p>
    <w:p>
      <w:r>
        <w:t>TCVN 11570-3: 2017,  Giống cây lâm nghiệp - Cây giống Keo - Phần 3: Keo lá liềm và Keo lá tràm.</w:t>
      </w:r>
    </w:p>
    <w:p>
      <w:r>
        <w:t>TCVN 11571-1: 2017,  Giống cây lâm nghiệp - Cây giống Bạch đàn - Phần 1: Bạch đàn lai.</w:t>
      </w:r>
    </w:p>
    <w:p>
      <w:r>
        <w:t>TCVN 11571-2: 2017,  Giống cây lâm nghiệp - Cây giống Bạch đàn - Phần 2: Bạch đàn urophylla và Bạch đàn camaldulensis.</w:t>
      </w:r>
    </w:p>
    <w:p>
      <w:r>
        <w:t>3  Thuật ngữ và định nghĩa</w:t>
      </w:r>
    </w:p>
    <w:p>
      <w:r>
        <w:t>Trong tiêu chuẩn này sử dụng các thuật ngữ và định nghĩa sau:</w:t>
      </w:r>
    </w:p>
    <w:p>
      <w:r>
        <w:t>3.1</w:t>
      </w:r>
    </w:p>
    <w:p>
      <w:r>
        <w:t>Cây đầu dòng    (Original ortet)</w:t>
      </w:r>
    </w:p>
    <w:p>
      <w:r>
        <w:t>Cây được đánh giá và công nhận từ quần thể của một giống cây trồng lâm nghiệp, để cung cấp vật liệu nhân giống vô tính.</w:t>
      </w:r>
    </w:p>
    <w:p>
      <w:r>
        <w:t>3.2</w:t>
      </w:r>
    </w:p>
    <w:p>
      <w:r>
        <w:t>Chồi bánh tẻ    (Semi-hardwood shoot)</w:t>
      </w:r>
    </w:p>
    <w:p>
      <w:r>
        <w:t>Chồi của cây ở giai đoạn nửa hóa gỗ có độ tuổi không quá 2 tháng tính từ thời điểm cắt tạo chồi.</w:t>
      </w:r>
    </w:p>
    <w:p>
      <w:r>
        <w:t>3.3</w:t>
      </w:r>
    </w:p>
    <w:p>
      <w:r>
        <w:t>Chồi hữu hiệu    (Effective shoot)</w:t>
      </w:r>
    </w:p>
    <w:p>
      <w:r>
        <w:t>Chồi có chiều dài trung bình từ 2,0 cm trở lên, thân, lá và ngọn rõ ràng, có nhiều hơn 2 cặp lá, không có mô sẹo.</w:t>
      </w:r>
    </w:p>
    <w:p>
      <w:r>
        <w:t>3.4</w:t>
      </w:r>
    </w:p>
    <w:p>
      <w:r>
        <w:t>Chồi thứ cấp    (Secondary shoot)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