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13991:2024 về Truy xuất nguồn gốc - Hướng dẫn truy xuất nguồn gốc thủy sản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TCVN13991:2024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13991:2024</w:t>
      </w:r>
    </w:p>
    <w:p>
      <w:r>
        <w:t>TRUY XUẤT NGUỒN GỐC - HƯỚNG DẪN TRUY XUẤT NGUỒN GỐC THỦY SẢN</w:t>
      </w:r>
    </w:p>
    <w:p>
      <w:r>
        <w:t>Traceability         - Guidelines for seafood traceability</w:t>
      </w:r>
    </w:p>
    <w:p>
      <w:r>
        <w:t>Lời nói đầu</w:t>
      </w:r>
    </w:p>
    <w:p>
      <w:r>
        <w:t>TCVN 13991:2024 do ban kỹ thuật tiêu chuẩn quốc gia TCVN/TC/GS1  Mã số mã vạch và truy xuất nguồn gốc  biên soạn, Tổng cục Tiêu chuẩn Đo lường Chất lượng đề nghị Bộ Khoa học và Công nghệ công bố.</w:t>
      </w:r>
    </w:p>
    <w:p>
      <w:r>
        <w:t>TRUY XUẤT NGUỒN GỐC - HƯỚNG DẪN TRUY XUẤT NGUỒN GỐC THỦY SẢN</w:t>
      </w:r>
    </w:p>
    <w:p>
      <w:r>
        <w:t>Traceability - Guidelines for seafood traceability</w:t>
      </w:r>
    </w:p>
    <w:p>
      <w:r>
        <w:t>1          Phạm vi áp dụng</w:t>
      </w:r>
    </w:p>
    <w:p>
      <w:r>
        <w:t>Tiêu chuẩn này đưa ra các hướng dẫn về cách xác định, định danh và theo dõi đối tượng truy xuất nguồn gốc, các thành phần dữ liệu cần thu thập và lưu trữ đối với các bên tham gia vào chuỗi cung ứng thủy sản dùng cho người.</w:t>
      </w:r>
    </w:p>
    <w:p>
      <w:r>
        <w:t>Tiêu chuẩn này được áp dụng đối với thủy sản đánh bắt và nuôi trồng.</w:t>
      </w:r>
    </w:p>
    <w:p>
      <w:r>
        <w:t>Tiêu chuẩn này không áp dụng đối với các sản phẩm thủy sản đánh bắt và nuôi trồng sau: nhuyễn thể, động vật giáp xác và cá có vây.</w:t>
      </w:r>
    </w:p>
    <w:p>
      <w:r>
        <w:t>2          Tài liệu viện dẫn</w:t>
      </w:r>
    </w:p>
    <w:p>
      <w:r>
        <w:t>Các tài liệu viện dẫn sau đây cần thiết cho việc áp dụng tiêu chuẩn này. Đối với các tài liệu ghi năm công bố thì áp dụng phiên bản được nêu. Đối với các tài liệu không ghi năm c  ô  ng bố thì áp dụng phiên bản mới nhất, bao gồm cả các sửa đổi, bổ sung (nếu có).</w:t>
      </w:r>
    </w:p>
    <w:p>
      <w:r>
        <w:t>TCVN 12850:2019, Truy xuất nguồn gốc - Yêu cầu chung đối với hệ thống truy xuất nguồn gốc</w:t>
      </w:r>
    </w:p>
    <w:p>
      <w:r>
        <w:t>3          Thuật ngữ và định nghĩa</w:t>
      </w:r>
    </w:p>
    <w:p>
      <w:r>
        <w:t>Tiêu chuẩn này áp dụng các thuật ngữ và định nghĩa trong TCVN 12850:2019 và các thuật ngữ, định nghĩa sau đây.</w:t>
      </w:r>
    </w:p>
    <w:p>
      <w:r>
        <w:t>3.1</w:t>
      </w:r>
    </w:p>
    <w:p>
      <w:r>
        <w:t>Thủy sản    (seafood)</w:t>
      </w:r>
    </w:p>
    <w:p>
      <w:r>
        <w:t>Trong phạm vi tiêu chuẩn này, thủy sản gồm cá, hải sản và sản phẩm thủy sản nuôi trồng.</w:t>
      </w:r>
    </w:p>
    <w:p>
      <w:r>
        <w:t>3.2</w:t>
      </w:r>
    </w:p>
    <w:p>
      <w:r>
        <w:t>Nuôi trồng thủy sản    (aquaculture)</w:t>
      </w:r>
    </w:p>
    <w:p>
      <w:r>
        <w:t>Quá trình nuôi cá, động vật giáp xác, động vật thân mềm, thực vật thủy sinh, tảo và các sinh vật thủy sinh khác.</w:t>
      </w:r>
    </w:p>
    <w:p>
      <w:r>
        <w:t>CHÚ THÍCH: Nuôi trồng thủy sản bao gồm việc nuôi trồng tại các quần thể nước ngọt và nước mặn trong các điều kiện được kiểm soát.</w:t>
      </w:r>
    </w:p>
    <w:p>
      <w:r>
        <w:t>4          Xác định đối tượng truy xuất</w:t>
      </w:r>
    </w:p>
    <w:p>
      <w:r>
        <w:t>4.1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