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13976:2024 về Sơn nhôm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TCVN13976:2024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13976:2024</w:t>
      </w:r>
    </w:p>
    <w:p>
      <w:r>
        <w:t>SƠN NHÔM</w:t>
      </w:r>
    </w:p>
    <w:p>
      <w:r>
        <w:t>Aluminium paint</w:t>
      </w:r>
    </w:p>
    <w:p>
      <w:r>
        <w:t>Lời nói đầu</w:t>
      </w:r>
    </w:p>
    <w:p>
      <w:r>
        <w:t>TCVN 13976:2024    được xây dựng dựa trên cơ sở tham khảo JIS K 5492:2014  Aluminum Paint.</w:t>
      </w:r>
    </w:p>
    <w:p>
      <w:r>
        <w:t>TCVN 13976:2024    do Viện Vật liệu xây dựng - Bộ Xây dựng biên soạn, Bộ Xây dựng đề nghị, Tổng cục Tiêu chuẩn Đo lường Chất lượng thẩm định, Bộ Khoa học và Công nghệ công bố.</w:t>
      </w:r>
    </w:p>
    <w:p>
      <w:r>
        <w:t>SƠN NHÔM</w:t>
      </w:r>
    </w:p>
    <w:p>
      <w:r>
        <w:t>Aluminium paint</w:t>
      </w:r>
    </w:p>
    <w:p>
      <w:r>
        <w:t>1  Phạm vi áp dụng</w:t>
      </w:r>
    </w:p>
    <w:p>
      <w:r>
        <w:t>Tiêu chuẩn này áp dụng ch  o   sơn nhôm được dùng chủ yếu ở ngoài trời, tạo lớp phủ màu bạc với mục đích chính là phản xạ bức xạ năng lượng mặt trời, chống thấm.</w:t>
      </w:r>
    </w:p>
    <w:p>
      <w:r>
        <w:t>2  Tài liệu viện dẫn</w:t>
      </w:r>
    </w:p>
    <w:p>
      <w:r>
        <w:t>Các tài liệu viện dẫn sau là cần thiết cho việc áp dụng tiêu chuẩn. Đối với các tài liệu viện dẫn ghi năm công bố thì áp dụng bản được nêu. Đối với các tài liệu viện dẫn không ghi năm công bố thì áp dụng phiên bản mới nhất, bao gồm cả các bản sửa đổi, bổ sung (nếu có).</w:t>
      </w:r>
    </w:p>
    <w:p>
      <w:r>
        <w:t>TCVN 2090 (ISO 15528),  Sơn, vecni và nguyên li    ệ    u ch    o     sơn và vecni - Lấy mẫu;</w:t>
      </w:r>
    </w:p>
    <w:p>
      <w:r>
        <w:t>TCVN 2094,  Sơn - Phương pháp gia công màng sơn;</w:t>
      </w:r>
    </w:p>
    <w:p>
      <w:r>
        <w:t>TCVN 2096-3 (ISO 9117-3 ), Sơn và vecni - Phương pháp xác định độ khô và thời gian khô - Phần 3: Xác định thời gian khô bề mặt dùng hạt Ballotini;</w:t>
      </w:r>
    </w:p>
    <w:p>
      <w:r>
        <w:t>TCVN 2099 (ISO 1519),  Sơn và vecni - Phép thử uốn (trục hình trụ);</w:t>
      </w:r>
    </w:p>
    <w:p>
      <w:r>
        <w:t>TCVN 2101 (ISO 2813),  Sơn và vecni - Xác định độ bóng phản quang của màng sơn không chứa kim loại ở góc 20°, 60° và 85°;</w:t>
      </w:r>
    </w:p>
    <w:p>
      <w:r>
        <w:t>TCVN 2102 (ISO 3668),  Sơn và vecni - Xác định màu sắc theo phương pháp so sánh trực quan;</w:t>
      </w:r>
    </w:p>
    <w:p>
      <w:r>
        <w:t>TCVN 5668 (ISO 3270),  Sơn, vecni và nguyên liệu của chúng. Nhiệt độ và độ ẩm để điều hòa và thử nghiệm;</w:t>
      </w:r>
    </w:p>
    <w:p>
      <w:r>
        <w:t>TCVN 5669 (ISO 1513),  Sơn và vecni - Kiểm tra và chuẩn bị mẫu thử;</w:t>
      </w:r>
    </w:p>
    <w:p>
      <w:r>
        <w:t>TCVN 5670 (ISO 1514),  Sơn và vecni - Tắm chuẩn để thử;</w:t>
      </w:r>
    </w:p>
    <w:p>
      <w:r>
        <w:t>TCVN 7218,  Kính tấm xây dựng - Kính n    ổ    i - Yêu cầu kỹ thuật;</w:t>
      </w:r>
    </w:p>
    <w:p>
      <w:r>
        <w:t>TCVN 7858 (ISO 3574),  Thép t    ấ    m các bon cán nguội chất lượng thương mại và chất lượng dập vuốt;</w:t>
      </w:r>
    </w:p>
    <w:p>
      <w:r>
        <w:t>TCVN 7874-1 (ISO 80000-1),  Đại lượng và đơn vị - Phần 0: Nguyên tắc chung;</w:t>
      </w:r>
    </w:p>
    <w:p>
      <w:r>
        <w:t>TCVN 899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