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13943-15:2024 (BS EN 14617-15:2005) về Đá nhân tạo - Phương pháp thử - Phần 15: Xác định cường độ chịu nén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TCVN13943-15:2024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13943-15:2024</w:t>
      </w:r>
    </w:p>
    <w:p>
      <w:r>
        <w:t>BS EN 14617-15:2005</w:t>
      </w:r>
    </w:p>
    <w:p>
      <w:r>
        <w:t>ĐÁ NHÂN TẠO - PHƯƠNG PHÁP THỬ</w:t>
      </w:r>
    </w:p>
    <w:p>
      <w:r>
        <w:t>PHẦN 15: XÁC ĐỊNH CƯỜNG ĐỘ CHỊU NÉN</w:t>
      </w:r>
    </w:p>
    <w:p>
      <w:r>
        <w:t>Agglomerated stone         -     Test Methods</w:t>
      </w:r>
    </w:p>
    <w:p>
      <w:r>
        <w:t>Part 15: Determination of compressive strength</w:t>
      </w:r>
    </w:p>
    <w:p>
      <w:r>
        <w:t>Lời nói đầu</w:t>
      </w:r>
    </w:p>
    <w:p>
      <w:r>
        <w:t>TCVN     13943-15:2024    xây dựng dựa trên cơ sở tham khảo BS EN 14617-15:2005</w:t>
      </w:r>
    </w:p>
    <w:p>
      <w:r>
        <w:t>TCVN     13943-15:2024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THỬ</w:t>
      </w:r>
    </w:p>
    <w:p>
      <w:r>
        <w:t>PHẦN 15: XÁC ĐỊNH CƯỜNG ĐỘ CHỊU NÉN</w:t>
      </w:r>
    </w:p>
    <w:p>
      <w:r>
        <w:t>Agglomerated stone             -       Test Methods</w:t>
      </w:r>
    </w:p>
    <w:p>
      <w:r>
        <w:t>Part 15: Determination of compressive strength</w:t>
      </w:r>
    </w:p>
    <w:p>
      <w:r>
        <w:t>1  Phạm vi áp dụng</w:t>
      </w:r>
    </w:p>
    <w:p>
      <w:r>
        <w:t>Tiêu chuẩn này quy định phương pháp xác định cường độ chịu nén của đá nhân tạo</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EN 197-1,     Cement     -     Part     1:     Composition, specifications and conformity criteria for common cements     (Xi măng     -     Phần     1:     Thành phần, thông s    ố     kỹ thuật và tiêu chí phù hợp cho các loại xi măng thông thường)</w:t>
      </w:r>
    </w:p>
    <w:p>
      <w:r>
        <w:t>EN 12390,     Testing hardened concrete     (Thử nghiệm bê tông đã đông cứng)</w:t>
      </w:r>
    </w:p>
    <w:p>
      <w:r>
        <w:t>EN 14618,     Agglomerated stone- Terminology and classification     (Đá nhân tạo - Thuật ngữ và phân loại).</w:t>
      </w:r>
    </w:p>
    <w:p>
      <w:r>
        <w:t>3  Nguyên tắc</w:t>
      </w:r>
    </w:p>
    <w:p>
      <w:r>
        <w:t>Các mẫu thử, sau khi chuẩn bị bề mặt hoặc nếu cần sau khi bịt đầu mẫu, đặt chính giữa trên tấm kim loại của máy thử nghiệm. Đặt tải trọng sao cho phân bố được đồng đều và tăng liên tục cho đến khi xảy ra phá vỡ mẫu.</w:t>
      </w:r>
    </w:p>
    <w:p>
      <w:r>
        <w:t>4  Thuật ngữ và định nghĩa</w:t>
      </w:r>
    </w:p>
    <w:p>
      <w:r>
        <w:t>Trong tiêu chuẩn này áp dụng các thuật ngữ và định nghĩa nêu trong EN 14618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