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13233-3:2025 (ISO 18646-3:2021) về Rô bốt - Tiêu chí tính năng và phương pháp thử liên quan đến rô bốt dịch vụ - Phần 3: Tay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TCVN13233-3:2025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13233-3:2025</w:t>
      </w:r>
    </w:p>
    <w:p>
      <w:r>
        <w:t>ISO 18646-3:2021</w:t>
      </w:r>
    </w:p>
    <w:p>
      <w:r>
        <w:t>RÔ BỐT - TIÊU CHÍ TÍNH NĂNG VÀ PHƯƠNG PHÁP THỬ LIÊN QUAN ĐẾN RÔ BỐT DỊCH VỤ - PHẦN 3: TAY MÁY</w:t>
      </w:r>
    </w:p>
    <w:p>
      <w:r>
        <w:t>Robotics     -     Performance criteria and related test methods for service robots - Part 3: Manipulation</w:t>
      </w:r>
    </w:p>
    <w:p>
      <w:r>
        <w:t>Lời nói đầu</w:t>
      </w:r>
    </w:p>
    <w:p>
      <w:r>
        <w:t>TCVN 13233-3:2025 hoàn toàn tương đương ISO 18646  -  3:2021</w:t>
      </w:r>
    </w:p>
    <w:p>
      <w:r>
        <w:t>TCVN 13233-3:2025 do Ban kỹ thuật tiêu   chu  ẩn quốc gia TCVN/TC 299    Robot      biên soạn, Viện Tiêu chuẩn Chất lượng Việt Nam đề nghị, Ủy ban Tiêu chuẩn Đo lường Chất lượng Quốc gia thẩm định, Bộ Khoa học và Công nghệ công bố.</w:t>
      </w:r>
    </w:p>
    <w:p>
      <w:r>
        <w:t>Bộ tiêu chuẩn TCVN 13233 (ISO 18646),  Rô bốt  -  Tiêu chí tính năng và phương pháp thử liên quan đến rô bốt dịch vụ  bao gồm các phần sau:</w:t>
      </w:r>
    </w:p>
    <w:p>
      <w:r>
        <w:t>- TCVN 13233-1:2020 (ISO 18646-1:2016), Phần 1: Di động của rô bốt bánh xe.</w:t>
      </w:r>
    </w:p>
    <w:p>
      <w:r>
        <w:t>- TCVN 13233-2:2020 (ISO 18646-2:2019), Phần 2: Điều khiển dẫn đường.</w:t>
      </w:r>
    </w:p>
    <w:p>
      <w:r>
        <w:t>-     TCVN 13233-3:2025 (ISO 18646-3:2025), Phần 3: Tay máy.</w:t>
      </w:r>
    </w:p>
    <w:p>
      <w:r>
        <w:t>- TCVN 13233-4:2025 (ISO 18646-4:2025), Phần 4: Rô bốt hỗ trợ vùng lưng dưới.</w:t>
      </w:r>
    </w:p>
    <w:p>
      <w:r>
        <w:t>RÔ BỐT - TIÊU CHÍ TÍNH NĂNG VÀ PHƯƠNG PHÁP THỬ LIÊN QUAN ĐẾN RÔ BỐT DỊCH VỤ - PHẦN 3: TAY MÁY</w:t>
      </w:r>
    </w:p>
    <w:p>
      <w:r>
        <w:t>Robotics       -       Performance criteria and related test methods for service robots - Part 3: Manipulation</w:t>
      </w:r>
    </w:p>
    <w:p>
      <w:r>
        <w:t>1  Phạm vi áp dụng</w:t>
      </w:r>
    </w:p>
    <w:p>
      <w:r>
        <w:t>Tiêu chuẩn này mô tả các phương pháp quy định và đánh giá hiệu suất tay máy của rô bốt dịch vụ, đặc biệt là:</w:t>
      </w:r>
    </w:p>
    <w:p>
      <w:r>
        <w:t>- Kích thước nắm giữ;</w:t>
      </w:r>
    </w:p>
    <w:p>
      <w:r>
        <w:t>- Lực nắm giữ;</w:t>
      </w:r>
    </w:p>
    <w:p>
      <w:r>
        <w:t>- Độ chống trượt của nắm giữ;</w:t>
      </w:r>
    </w:p>
    <w:p>
      <w:r>
        <w:t>- Mở cửa   bả  n lề; và</w:t>
      </w:r>
    </w:p>
    <w:p>
      <w:r>
        <w:t>- M  ở   cửa trượt.</w:t>
      </w:r>
    </w:p>
    <w:p>
      <w:r>
        <w:t>Có những đặc đi  ể  m nắm giữ đặc trưng khác và trường hợp sử dụng đối với tay máy của rô b  ố  t dịch vụ. Dự kiến những đặc điểm này sẽ được đưa vào bản sửa đổi trong tương lai.</w:t>
      </w:r>
    </w:p>
    <w:p>
      <w:r>
        <w:t>Tiêu chuẩn này chỉ đề cập đến môi trường trong nhà. Tuy nhiên, các thử nghiệm đã mô tả cũng có thể áp dụng được cho các rô bốt hoạt động trong môi trường bên ngoài nhà.</w:t>
      </w:r>
    </w:p>
    <w:p>
      <w:r>
        <w:t>Tiêu chuẩn này không áp dụng cho kiểm tra xác nhận hoặc phê chuẩn các yêu cầu về an toàn.</w:t>
      </w:r>
    </w:p>
    <w:p>
      <w:r>
        <w:t>2  Tài liệu viện dẫn</w:t>
      </w:r>
    </w:p>
    <w:p>
      <w:r>
        <w:t>Các tài liệu viện dẫn sau r  ấ  t cần thiết cho áp dụng tiêu chuẩn này. Đối với các tài liệu viện dẫn ghi năm công bố thì chỉ áp dụng phiên bản đã nêu. Đối với các tài liệu viện dẫn không ghi năm công bố thì áp dụng phiên bản mới nhất, bao gồm cả các sửa đổi, nếu có.</w:t>
      </w:r>
    </w:p>
    <w:p>
      <w:r>
        <w:t>ISO 9379:2005,    Operating forces     -     Test method    -  Doors    (Lực hoạt động - Phương pháp thử - Cửa).</w:t>
      </w:r>
    </w:p>
    <w:p>
      <w:r>
        <w:t>3  Thuật ngữ và định nghĩa</w:t>
      </w:r>
    </w:p>
    <w:p>
      <w:r>
        <w:t>Tiêu chuẩn này sử dụng các thuật ngữ và định nghĩa sau:</w:t>
      </w:r>
    </w:p>
    <w:p>
      <w:r>
        <w:t>3.1</w:t>
      </w:r>
    </w:p>
    <w:p>
      <w:r>
        <w:t>Rô bốt    (robot)</w:t>
      </w:r>
    </w:p>
    <w:p>
      <w:r>
        <w:t>Cơ cấu dẫn động được lập trình với một mức độ tự động hóa để thực hiện chuyển động, thao tác hoặc định vị.</w:t>
      </w:r>
    </w:p>
    <w:p>
      <w:r>
        <w:t>Chú thích 1:  Rô bốt  bao gồm hệ thống điều khiển.</w:t>
      </w:r>
    </w:p>
    <w:p>
      <w:r>
        <w:t>VÍ DỤ       Tay máy, sàn     di     động, rô bốt đeo.</w:t>
      </w:r>
    </w:p>
    <w:p>
      <w:r>
        <w:t>[NGUỒN: TCVN 13228:2020 (ISO 8373: 2012), 2.6 đã sửa đổi - Cụm từ “cơ cấu dẫn động khả lập trình trên hai hoặc nhiều trục” đã được thay thế bằng cụm từ “cơ cấu dẫn động được lập trình”, cụm từ "di chuyển trong môi trường của nó, để thực hiện các tác vụ đã định" được thay thế bằng "để thực hiện chuyển động, thao tác hoặc định vị", chú thích 1 đã được sửa đổi, chú thích 2 bị x  ó  a và VÍ DỤ được thêm vào].</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