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12709-2-26:2024 về Quy trình giám định côn trùng và nhện nhỏ hại thực vật - Phần 2-26: Yêu cầu cụ thể đối với quy trình giám định bọ trĩ cam Nam phi Scirtothrips aurantii Faure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TCVN12709-2-26:2024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12709-2-26:2024</w:t>
      </w:r>
    </w:p>
    <w:p>
      <w:r>
        <w:t>QUY TRÌNH GIÁM ĐỊNH CÔN TRÙNG VÀ NHỆN NHỎ HẠI THỰC VẬT</w:t>
      </w:r>
    </w:p>
    <w:p>
      <w:r>
        <w:t>PHẦN 2-26: YÊU CẦU CỤ THỂ ĐỐI VỚI QUY TRÌNH GIÁM ĐỊNH BỌ TRĨ CAM NAM PHI  SCIRTOTHRIPS AURANTII FAURE</w:t>
      </w:r>
    </w:p>
    <w:p>
      <w:r>
        <w:t>Procedure for diagnostic of insect and mite pests  Part 2-26: Particular requirements for diagnostic procedure of South African citrus thrips Scirtothrips aurantii     Faure</w:t>
      </w:r>
    </w:p>
    <w:p>
      <w:r>
        <w:t>Lời nói đầu</w:t>
      </w:r>
    </w:p>
    <w:p>
      <w:r>
        <w:t>TCVN 12709-2-26:2024 do Cục Bảo vệ thực vật biên soạn, Bộ Nông nghiệp và Phát triển nông thôn đề nghị, Ủy ban Tiêu chuẩn Đo lường Chất lượng Quốc gia thẩm định, Bộ Khoa học và Công ng  h  ệ công bố.</w:t>
      </w:r>
    </w:p>
    <w:p>
      <w:r>
        <w:t>Bộ TCVN 12709 Quy trình giám định côn trùng và nhện nhỏ hại thực vật gồm các phần sau đây:</w:t>
      </w:r>
    </w:p>
    <w:p>
      <w:r>
        <w:t>- TCVN 12709-1:2019. Phần 1: Yêu cầu chung</w:t>
      </w:r>
    </w:p>
    <w:p>
      <w:r>
        <w:t>- TCVN 12709-2-1:2019. Phần 2-1: Yêu cầu cụ thể đối với mọt to vòi  Caulophilus     oryzae    (Gyllenhal)</w:t>
      </w:r>
    </w:p>
    <w:p>
      <w:r>
        <w:t>-    TCVN 12709-2-2:2019. Phần 2-2: Yêu cầu cụ thể đối với mọt thóc  Sitophilus granarius    Linnaeus</w:t>
      </w:r>
    </w:p>
    <w:p>
      <w:r>
        <w:t>- TCVN 12709-2-3:2019. Phần 2-3: Yêu cầu cụ thể đối với mọt cứng đốt ( Trogoderma granarium      Everts),   mọt da vệt thận ( Trogoderma incl    u    sum        Leconte)   và mọt da ăn tạp ( Trogoderma     variable        Ballion)</w:t>
      </w:r>
    </w:p>
    <w:p>
      <w:r>
        <w:t>- TCVN 12709-2-4:2019. Phần 2-4: Yêu cầu cụ thể đối với rệp sáp vảy San   Jose’    Diaspidiotus perniciosus        (Comstock) Danzig</w:t>
      </w:r>
    </w:p>
    <w:p>
      <w:r>
        <w:t>- TCVN 12709-2-5:2019. Phần 2-5: Yêu cầu cụ thể đối với ruồi đục quả giống  Anastrepha</w:t>
      </w:r>
    </w:p>
    <w:p>
      <w:r>
        <w:t>-    TCVN 12709-2-6:2019. Phần 2-6: Yêu cầu cụ thể đối với ruồi đục quả giống  Bactrocera</w:t>
      </w:r>
    </w:p>
    <w:p>
      <w:r>
        <w:t>- TCVN 12709-2-7:2020. Phần 2-7: Yêu cầu cụ th  ể   đối với vòi voi đục hạt xoài  Sternochetus     mangiferae        (Fabricius)</w:t>
      </w:r>
    </w:p>
    <w:p>
      <w:r>
        <w:t>- TCVN 12709-2-8:2020. Phần 2-8: Yêu cầu cụ thể đối với ruồi gi  ấ  m cánh đốm    Drosophila suzukii     (Matsumura)</w:t>
      </w:r>
    </w:p>
    <w:p>
      <w:r>
        <w:t>- TCVN 12709-2-9:2020. Phần 2-9: Yêu cầu cụ thể đối với bọ trĩ hại đậu  Caliothrips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