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shd w:val="clear" w:color="auto" w:fill="FFFFFF"/>
        <w:tblCellMar>
          <w:left w:w="0" w:type="dxa"/>
          <w:right w:w="0" w:type="dxa"/>
        </w:tblCellMar>
        <w:tblLook w:val="04A0" w:firstRow="1" w:lastRow="0" w:firstColumn="1" w:lastColumn="0" w:noHBand="0" w:noVBand="1"/>
      </w:tblPr>
      <w:tblGrid>
        <w:gridCol w:w="3348"/>
        <w:gridCol w:w="5508"/>
      </w:tblGrid>
      <w:tr w:rsidR="00333086" w:rsidRPr="00333086" w:rsidTr="00333086">
        <w:tc>
          <w:tcPr>
            <w:tcW w:w="3348" w:type="dxa"/>
            <w:shd w:val="clear" w:color="auto" w:fill="FFFFFF"/>
            <w:tcMar>
              <w:top w:w="0" w:type="dxa"/>
              <w:left w:w="108" w:type="dxa"/>
              <w:bottom w:w="0" w:type="dxa"/>
              <w:right w:w="108" w:type="dxa"/>
            </w:tcMar>
            <w:hideMark/>
          </w:tcPr>
          <w:p w:rsidR="00333086" w:rsidRPr="00333086" w:rsidRDefault="00333086" w:rsidP="00333086">
            <w:pPr>
              <w:spacing w:before="120" w:after="120" w:line="240" w:lineRule="auto"/>
              <w:jc w:val="center"/>
              <w:rPr>
                <w:rFonts w:ascii="Arial" w:eastAsia="Times New Roman" w:hAnsi="Arial" w:cs="Arial"/>
                <w:color w:val="333333"/>
                <w:sz w:val="21"/>
                <w:szCs w:val="21"/>
              </w:rPr>
            </w:pPr>
            <w:r w:rsidRPr="00333086">
              <w:rPr>
                <w:rFonts w:ascii="Arial" w:eastAsia="Times New Roman" w:hAnsi="Arial" w:cs="Arial"/>
                <w:b/>
                <w:bCs/>
                <w:color w:val="333333"/>
                <w:sz w:val="21"/>
                <w:szCs w:val="21"/>
              </w:rPr>
              <w:t>BỘ KẾ HOẠCH VÀ ĐẦU TƯ</w:t>
            </w:r>
            <w:r w:rsidRPr="00333086">
              <w:rPr>
                <w:rFonts w:ascii="Arial" w:eastAsia="Times New Roman" w:hAnsi="Arial" w:cs="Arial"/>
                <w:b/>
                <w:bCs/>
                <w:color w:val="333333"/>
                <w:sz w:val="21"/>
                <w:szCs w:val="21"/>
              </w:rPr>
              <w:br/>
              <w:t>-------</w:t>
            </w:r>
          </w:p>
        </w:tc>
        <w:tc>
          <w:tcPr>
            <w:tcW w:w="5508" w:type="dxa"/>
            <w:shd w:val="clear" w:color="auto" w:fill="FFFFFF"/>
            <w:tcMar>
              <w:top w:w="0" w:type="dxa"/>
              <w:left w:w="108" w:type="dxa"/>
              <w:bottom w:w="0" w:type="dxa"/>
              <w:right w:w="108" w:type="dxa"/>
            </w:tcMar>
            <w:hideMark/>
          </w:tcPr>
          <w:p w:rsidR="00333086" w:rsidRPr="00333086" w:rsidRDefault="00333086" w:rsidP="00333086">
            <w:pPr>
              <w:spacing w:before="120" w:after="120" w:line="240" w:lineRule="auto"/>
              <w:jc w:val="center"/>
              <w:rPr>
                <w:rFonts w:ascii="Arial" w:eastAsia="Times New Roman" w:hAnsi="Arial" w:cs="Arial"/>
                <w:color w:val="333333"/>
                <w:sz w:val="21"/>
                <w:szCs w:val="21"/>
              </w:rPr>
            </w:pPr>
            <w:r w:rsidRPr="00333086">
              <w:rPr>
                <w:rFonts w:ascii="Arial" w:eastAsia="Times New Roman" w:hAnsi="Arial" w:cs="Arial"/>
                <w:b/>
                <w:bCs/>
                <w:color w:val="333333"/>
                <w:sz w:val="21"/>
                <w:szCs w:val="21"/>
              </w:rPr>
              <w:t>CỘNG HÒA XÃ HỘI CHỦ NGHĨA VIỆT NAM</w:t>
            </w:r>
            <w:r w:rsidRPr="00333086">
              <w:rPr>
                <w:rFonts w:ascii="Arial" w:eastAsia="Times New Roman" w:hAnsi="Arial" w:cs="Arial"/>
                <w:b/>
                <w:bCs/>
                <w:color w:val="333333"/>
                <w:sz w:val="21"/>
                <w:szCs w:val="21"/>
              </w:rPr>
              <w:br/>
              <w:t>Độc lập - Tự do - Hạnh phúc</w:t>
            </w:r>
            <w:r w:rsidRPr="00333086">
              <w:rPr>
                <w:rFonts w:ascii="Arial" w:eastAsia="Times New Roman" w:hAnsi="Arial" w:cs="Arial"/>
                <w:b/>
                <w:bCs/>
                <w:color w:val="333333"/>
                <w:sz w:val="21"/>
                <w:szCs w:val="21"/>
              </w:rPr>
              <w:br/>
              <w:t>---------------</w:t>
            </w:r>
          </w:p>
        </w:tc>
      </w:tr>
      <w:tr w:rsidR="00333086" w:rsidRPr="00333086" w:rsidTr="00333086">
        <w:tc>
          <w:tcPr>
            <w:tcW w:w="3348" w:type="dxa"/>
            <w:shd w:val="clear" w:color="auto" w:fill="FFFFFF"/>
            <w:tcMar>
              <w:top w:w="0" w:type="dxa"/>
              <w:left w:w="108" w:type="dxa"/>
              <w:bottom w:w="0" w:type="dxa"/>
              <w:right w:w="108" w:type="dxa"/>
            </w:tcMar>
            <w:hideMark/>
          </w:tcPr>
          <w:p w:rsidR="00333086" w:rsidRPr="00333086" w:rsidRDefault="00333086" w:rsidP="00333086">
            <w:pPr>
              <w:spacing w:before="120" w:after="120" w:line="240" w:lineRule="auto"/>
              <w:jc w:val="center"/>
              <w:rPr>
                <w:rFonts w:ascii="Arial" w:eastAsia="Times New Roman" w:hAnsi="Arial" w:cs="Arial"/>
                <w:color w:val="333333"/>
                <w:sz w:val="21"/>
                <w:szCs w:val="21"/>
              </w:rPr>
            </w:pPr>
            <w:r w:rsidRPr="00333086">
              <w:rPr>
                <w:rFonts w:ascii="Arial" w:eastAsia="Times New Roman" w:hAnsi="Arial" w:cs="Arial"/>
                <w:color w:val="333333"/>
                <w:sz w:val="21"/>
                <w:szCs w:val="21"/>
              </w:rPr>
              <w:t>Số: 14/2020/TT-BKHĐT</w:t>
            </w:r>
          </w:p>
        </w:tc>
        <w:tc>
          <w:tcPr>
            <w:tcW w:w="5508" w:type="dxa"/>
            <w:shd w:val="clear" w:color="auto" w:fill="FFFFFF"/>
            <w:tcMar>
              <w:top w:w="0" w:type="dxa"/>
              <w:left w:w="108" w:type="dxa"/>
              <w:bottom w:w="0" w:type="dxa"/>
              <w:right w:w="108" w:type="dxa"/>
            </w:tcMar>
            <w:hideMark/>
          </w:tcPr>
          <w:p w:rsidR="00333086" w:rsidRPr="00333086" w:rsidRDefault="00333086" w:rsidP="00333086">
            <w:pPr>
              <w:spacing w:before="120" w:after="120" w:line="240" w:lineRule="auto"/>
              <w:jc w:val="right"/>
              <w:rPr>
                <w:rFonts w:ascii="Arial" w:eastAsia="Times New Roman" w:hAnsi="Arial" w:cs="Arial"/>
                <w:color w:val="333333"/>
                <w:sz w:val="21"/>
                <w:szCs w:val="21"/>
              </w:rPr>
            </w:pPr>
            <w:r w:rsidRPr="00333086">
              <w:rPr>
                <w:rFonts w:ascii="Arial" w:eastAsia="Times New Roman" w:hAnsi="Arial" w:cs="Arial"/>
                <w:i/>
                <w:iCs/>
                <w:color w:val="333333"/>
                <w:sz w:val="21"/>
                <w:szCs w:val="21"/>
              </w:rPr>
              <w:t>Hà Nội, ngày 31 tháng 12 năm 2020</w:t>
            </w:r>
          </w:p>
        </w:tc>
      </w:tr>
    </w:tbl>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w:t>
      </w:r>
    </w:p>
    <w:p w:rsidR="00333086" w:rsidRPr="00333086" w:rsidRDefault="00333086" w:rsidP="00333086">
      <w:pPr>
        <w:shd w:val="clear" w:color="auto" w:fill="FFFFFF"/>
        <w:spacing w:before="120" w:after="120" w:line="240" w:lineRule="auto"/>
        <w:jc w:val="center"/>
        <w:rPr>
          <w:rFonts w:ascii="Arial" w:eastAsia="Times New Roman" w:hAnsi="Arial" w:cs="Arial"/>
          <w:color w:val="333333"/>
          <w:sz w:val="21"/>
          <w:szCs w:val="21"/>
        </w:rPr>
      </w:pPr>
      <w:bookmarkStart w:id="0" w:name="loai_1"/>
      <w:r w:rsidRPr="00333086">
        <w:rPr>
          <w:rFonts w:ascii="Arial" w:eastAsia="Times New Roman" w:hAnsi="Arial" w:cs="Arial"/>
          <w:b/>
          <w:bCs/>
          <w:color w:val="000000"/>
          <w:sz w:val="24"/>
          <w:szCs w:val="24"/>
        </w:rPr>
        <w:t>THÔNG TƯ</w:t>
      </w:r>
      <w:bookmarkEnd w:id="0"/>
    </w:p>
    <w:p w:rsidR="00333086" w:rsidRPr="00333086" w:rsidRDefault="00333086" w:rsidP="00333086">
      <w:pPr>
        <w:shd w:val="clear" w:color="auto" w:fill="FFFFFF"/>
        <w:spacing w:before="120" w:after="120" w:line="240" w:lineRule="auto"/>
        <w:jc w:val="center"/>
        <w:rPr>
          <w:rFonts w:ascii="Arial" w:eastAsia="Times New Roman" w:hAnsi="Arial" w:cs="Arial"/>
          <w:color w:val="333333"/>
          <w:sz w:val="21"/>
          <w:szCs w:val="21"/>
        </w:rPr>
      </w:pPr>
      <w:bookmarkStart w:id="1" w:name="loai_1_name"/>
      <w:r w:rsidRPr="00333086">
        <w:rPr>
          <w:rFonts w:ascii="Arial" w:eastAsia="Times New Roman" w:hAnsi="Arial" w:cs="Arial"/>
          <w:color w:val="000000"/>
          <w:sz w:val="21"/>
          <w:szCs w:val="21"/>
        </w:rPr>
        <w:t>HƯỚNG DẪN VIỆC XỬ LÝ RỦI RO TRONG HOẠT ĐỘNG CHO VAY TRỰC TIẾP CỦA QUỸ PHÁT TRIỂN DOANH NGHIỆP NHỎ VÀ VỪA</w:t>
      </w:r>
      <w:bookmarkEnd w:id="1"/>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Căn cứ Luật ngân sách nhà nước ngày 25 tháng 6 năm 2015;</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Căn cứ Luật Các tổ chức tín dụng ngày 16 tháng 6 năm 2010 và Luật sửa đổi, bổ sung một số điều của Luật Các tổ chức tín dụng ngày 20 tháng 11 năm 2017;</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Căn cứ Luật doanh nghiệp ngày 26 tháng 11 năm 2014;</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Căn cứ Luật Hỗ trợ doanh nghiệp nhỏ và vừa ngày 12 tháng 6 năm 2017;</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 xml:space="preserve">Căn cứ Nghị định </w:t>
      </w:r>
      <w:r w:rsidRPr="00333086">
        <w:rPr>
          <w:rFonts w:ascii="Arial" w:eastAsia="Times New Roman" w:hAnsi="Arial" w:cs="Arial"/>
          <w:iCs/>
          <w:sz w:val="21"/>
          <w:szCs w:val="21"/>
        </w:rPr>
        <w:t>số </w:t>
      </w:r>
      <w:hyperlink r:id="rId4" w:tgtFrame="_blank" w:tooltip="Nghị định 86/2017/NĐ-CP" w:history="1">
        <w:r w:rsidRPr="00333086">
          <w:rPr>
            <w:rFonts w:ascii="Arial" w:eastAsia="Times New Roman" w:hAnsi="Arial" w:cs="Arial"/>
            <w:iCs/>
            <w:sz w:val="21"/>
            <w:szCs w:val="21"/>
          </w:rPr>
          <w:t>86/2017/NĐ-CP</w:t>
        </w:r>
      </w:hyperlink>
      <w:r w:rsidRPr="00333086">
        <w:rPr>
          <w:rFonts w:ascii="Arial" w:eastAsia="Times New Roman" w:hAnsi="Arial" w:cs="Arial"/>
          <w:i/>
          <w:iCs/>
          <w:color w:val="333333"/>
          <w:sz w:val="21"/>
          <w:szCs w:val="21"/>
        </w:rPr>
        <w:t> ngày 25 tháng 7 năm 2017 của Chính phủ quy định chức năng, nhiệm vụ, quyền hạn và cơ cấu tổ chức của Bộ Kế hoạch và Đầu tư;</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Căn cứ Nghị định số </w:t>
      </w:r>
      <w:hyperlink r:id="rId5" w:tgtFrame="_blank" w:tooltip="Nghị định 39/2019/NĐ-CP" w:history="1">
        <w:r w:rsidRPr="00333086">
          <w:rPr>
            <w:rFonts w:ascii="Arial" w:eastAsia="Times New Roman" w:hAnsi="Arial" w:cs="Arial"/>
            <w:i/>
            <w:iCs/>
            <w:sz w:val="21"/>
            <w:szCs w:val="21"/>
          </w:rPr>
          <w:t>39/2019/NĐ-CP</w:t>
        </w:r>
      </w:hyperlink>
      <w:r w:rsidRPr="00333086">
        <w:rPr>
          <w:rFonts w:ascii="Arial" w:eastAsia="Times New Roman" w:hAnsi="Arial" w:cs="Arial"/>
          <w:i/>
          <w:iCs/>
          <w:color w:val="333333"/>
          <w:sz w:val="21"/>
          <w:szCs w:val="21"/>
        </w:rPr>
        <w:t> ngày 10 tháng 5 năm 2019 của Chính phủ về tổ chức và hoạt động của Quỹ Phát triển doanh nghiệp nhỏ và vừa;</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Theo đề nghị của Chủ tịch Hội đồng thành viên Quỹ Phát triển doanh nghiệp nhỏ và vừa;</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i/>
          <w:iCs/>
          <w:color w:val="333333"/>
          <w:sz w:val="21"/>
          <w:szCs w:val="21"/>
        </w:rPr>
        <w:t>Bộ trưởng Bộ Kế hoạch và Đầu tư ban hành Thông tư hướng dẫn việc xử lý rủi ro trong hoạt động cho vay trực tiếp của Quỹ Phát triển doanh nghiệp nhỏ và vừa.</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2" w:name="chuong_1"/>
      <w:r w:rsidRPr="00333086">
        <w:rPr>
          <w:rFonts w:ascii="Arial" w:eastAsia="Times New Roman" w:hAnsi="Arial" w:cs="Arial"/>
          <w:b/>
          <w:bCs/>
          <w:color w:val="000000"/>
          <w:sz w:val="21"/>
          <w:szCs w:val="21"/>
        </w:rPr>
        <w:t>Chương I</w:t>
      </w:r>
      <w:bookmarkEnd w:id="2"/>
    </w:p>
    <w:p w:rsidR="00333086" w:rsidRPr="00333086" w:rsidRDefault="00333086" w:rsidP="00333086">
      <w:pPr>
        <w:shd w:val="clear" w:color="auto" w:fill="FFFFFF"/>
        <w:spacing w:before="120" w:after="120" w:line="240" w:lineRule="auto"/>
        <w:jc w:val="center"/>
        <w:rPr>
          <w:rFonts w:ascii="Arial" w:eastAsia="Times New Roman" w:hAnsi="Arial" w:cs="Arial"/>
          <w:color w:val="333333"/>
          <w:sz w:val="21"/>
          <w:szCs w:val="21"/>
        </w:rPr>
      </w:pPr>
      <w:bookmarkStart w:id="3" w:name="chuong_1_name"/>
      <w:r w:rsidRPr="00333086">
        <w:rPr>
          <w:rFonts w:ascii="Arial" w:eastAsia="Times New Roman" w:hAnsi="Arial" w:cs="Arial"/>
          <w:b/>
          <w:bCs/>
          <w:color w:val="000000"/>
          <w:sz w:val="24"/>
          <w:szCs w:val="24"/>
        </w:rPr>
        <w:t>QUY ĐỊNH CHUNG</w:t>
      </w:r>
      <w:bookmarkEnd w:id="3"/>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4" w:name="dieu_1"/>
      <w:r w:rsidRPr="00333086">
        <w:rPr>
          <w:rFonts w:ascii="Arial" w:eastAsia="Times New Roman" w:hAnsi="Arial" w:cs="Arial"/>
          <w:b/>
          <w:bCs/>
          <w:color w:val="000000"/>
          <w:sz w:val="21"/>
          <w:szCs w:val="21"/>
        </w:rPr>
        <w:t>Điều 1. Phạm vi điều chỉnh</w:t>
      </w:r>
      <w:bookmarkEnd w:id="4"/>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Thông tư này hướng dẫn việc xử lý rủi ro trong hoạt động cho vay trực tiếp của Quỹ Phát triển doanh nghiệp nhỏ và vừa được quy định tại </w:t>
      </w:r>
      <w:bookmarkStart w:id="5" w:name="dc_1"/>
      <w:r w:rsidRPr="00333086">
        <w:rPr>
          <w:rFonts w:ascii="Arial" w:eastAsia="Times New Roman" w:hAnsi="Arial" w:cs="Arial"/>
          <w:color w:val="000000"/>
          <w:sz w:val="21"/>
          <w:szCs w:val="21"/>
        </w:rPr>
        <w:t>Mục I Chương III và Mục II Chương V Nghị định số 39/2019/NĐ-CP</w:t>
      </w:r>
      <w:bookmarkEnd w:id="5"/>
      <w:r w:rsidRPr="00333086">
        <w:rPr>
          <w:rFonts w:ascii="Arial" w:eastAsia="Times New Roman" w:hAnsi="Arial" w:cs="Arial"/>
          <w:color w:val="333333"/>
          <w:sz w:val="21"/>
          <w:szCs w:val="21"/>
        </w:rPr>
        <w:t> ngày 10 tháng 5 năm 2019 của Chính phủ về tổ chức và hoạt động của Quỹ Phát triển doanh nghiệp nhỏ và vừa (sau đây được viết tắt là Nghị định số 39/2019/NĐ-CP).</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6" w:name="dieu_2"/>
      <w:r w:rsidRPr="00333086">
        <w:rPr>
          <w:rFonts w:ascii="Arial" w:eastAsia="Times New Roman" w:hAnsi="Arial" w:cs="Arial"/>
          <w:b/>
          <w:bCs/>
          <w:color w:val="000000"/>
          <w:sz w:val="21"/>
          <w:szCs w:val="21"/>
        </w:rPr>
        <w:t>Điều 2. Đối tượng áp dụng</w:t>
      </w:r>
      <w:bookmarkEnd w:id="6"/>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Quỹ Phát triển doanh nghiệp nhỏ và vừa (sau đây gọi tắt là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Doanh nghiệp nhỏ và vừa (sau đây được viết tắt là DNNVV) vay vốn của Quỹ theo quy định tại </w:t>
      </w:r>
      <w:bookmarkStart w:id="7" w:name="dc_2"/>
      <w:r w:rsidRPr="00333086">
        <w:rPr>
          <w:rFonts w:ascii="Arial" w:eastAsia="Times New Roman" w:hAnsi="Arial" w:cs="Arial"/>
          <w:color w:val="000000"/>
          <w:sz w:val="21"/>
          <w:szCs w:val="21"/>
        </w:rPr>
        <w:t>Mục I Chương III Nghị định số 39/2019/NĐ-CP</w:t>
      </w:r>
      <w:bookmarkEnd w:id="7"/>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Các tổ chức và cá nhân có liên quan trong quá trình thực hiện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8" w:name="dieu_3"/>
      <w:r w:rsidRPr="00333086">
        <w:rPr>
          <w:rFonts w:ascii="Arial" w:eastAsia="Times New Roman" w:hAnsi="Arial" w:cs="Arial"/>
          <w:b/>
          <w:bCs/>
          <w:color w:val="000000"/>
          <w:sz w:val="21"/>
          <w:szCs w:val="21"/>
        </w:rPr>
        <w:t>Điều 3. Giải thích từ ngữ</w:t>
      </w:r>
      <w:bookmarkEnd w:id="8"/>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Trong Thông tư này, ngoài các thuật ngữ đã được quy định tại Nghị định số </w:t>
      </w:r>
      <w:hyperlink r:id="rId6" w:tgtFrame="_blank" w:tooltip="Nghị định 39/2019/NĐ-CP" w:history="1">
        <w:r w:rsidRPr="00333086">
          <w:rPr>
            <w:rFonts w:ascii="Arial" w:eastAsia="Times New Roman" w:hAnsi="Arial" w:cs="Arial"/>
            <w:sz w:val="21"/>
            <w:szCs w:val="21"/>
          </w:rPr>
          <w:t>39/2019/NĐ-CP</w:t>
        </w:r>
      </w:hyperlink>
      <w:r w:rsidRPr="00333086">
        <w:rPr>
          <w:rFonts w:ascii="Arial" w:eastAsia="Times New Roman" w:hAnsi="Arial" w:cs="Arial"/>
          <w:sz w:val="21"/>
          <w:szCs w:val="21"/>
        </w:rPr>
        <w:t> </w:t>
      </w:r>
      <w:r w:rsidRPr="00333086">
        <w:rPr>
          <w:rFonts w:ascii="Arial" w:eastAsia="Times New Roman" w:hAnsi="Arial" w:cs="Arial"/>
          <w:color w:val="333333"/>
          <w:sz w:val="21"/>
          <w:szCs w:val="21"/>
        </w:rPr>
        <w:t>, các từ ngữ dưới đây được hiểu như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w:t>
      </w:r>
      <w:r w:rsidRPr="00333086">
        <w:rPr>
          <w:rFonts w:ascii="Arial" w:eastAsia="Times New Roman" w:hAnsi="Arial" w:cs="Arial"/>
          <w:i/>
          <w:iCs/>
          <w:color w:val="333333"/>
          <w:sz w:val="21"/>
          <w:szCs w:val="21"/>
        </w:rPr>
        <w:t>“Hợp đồng cho vay trực tiếp”</w:t>
      </w:r>
      <w:r w:rsidRPr="00333086">
        <w:rPr>
          <w:rFonts w:ascii="Arial" w:eastAsia="Times New Roman" w:hAnsi="Arial" w:cs="Arial"/>
          <w:color w:val="333333"/>
          <w:sz w:val="21"/>
          <w:szCs w:val="21"/>
        </w:rPr>
        <w:t> (sau đây được viết tắt là Hợp đồng) là thỏa thuận cho vay trực tiếp theo quy định tại </w:t>
      </w:r>
      <w:bookmarkStart w:id="9" w:name="dc_3"/>
      <w:r w:rsidRPr="00333086">
        <w:rPr>
          <w:rFonts w:ascii="Arial" w:eastAsia="Times New Roman" w:hAnsi="Arial" w:cs="Arial"/>
          <w:color w:val="000000"/>
          <w:sz w:val="21"/>
          <w:szCs w:val="21"/>
        </w:rPr>
        <w:t>Điều 20 Nghị định số 39/2019/NĐ-CP</w:t>
      </w:r>
      <w:bookmarkEnd w:id="9"/>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2. </w:t>
      </w:r>
      <w:r w:rsidRPr="00333086">
        <w:rPr>
          <w:rFonts w:ascii="Arial" w:eastAsia="Times New Roman" w:hAnsi="Arial" w:cs="Arial"/>
          <w:i/>
          <w:iCs/>
          <w:color w:val="333333"/>
          <w:sz w:val="21"/>
          <w:szCs w:val="21"/>
        </w:rPr>
        <w:t>“Rủi ro”</w:t>
      </w:r>
      <w:r w:rsidRPr="00333086">
        <w:rPr>
          <w:rFonts w:ascii="Arial" w:eastAsia="Times New Roman" w:hAnsi="Arial" w:cs="Arial"/>
          <w:color w:val="333333"/>
          <w:sz w:val="21"/>
          <w:szCs w:val="21"/>
        </w:rPr>
        <w:t> là tổn thất có khả năng xảy ra đối với các khoản nợ của Quỹ do DNNVV không thực hiện hoặc không có khả năng thực hiện một phần hoặc toàn bộ nghĩa vụ trả nợ vay (gốc, lãi) theo đúng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w:t>
      </w:r>
      <w:r w:rsidRPr="00333086">
        <w:rPr>
          <w:rFonts w:ascii="Arial" w:eastAsia="Times New Roman" w:hAnsi="Arial" w:cs="Arial"/>
          <w:i/>
          <w:iCs/>
          <w:color w:val="333333"/>
          <w:sz w:val="21"/>
          <w:szCs w:val="21"/>
        </w:rPr>
        <w:t>“Xử lý rủi ro”</w:t>
      </w:r>
      <w:r w:rsidRPr="00333086">
        <w:rPr>
          <w:rFonts w:ascii="Arial" w:eastAsia="Times New Roman" w:hAnsi="Arial" w:cs="Arial"/>
          <w:color w:val="333333"/>
          <w:sz w:val="21"/>
          <w:szCs w:val="21"/>
        </w:rPr>
        <w:t> là việc áp dụng các biện pháp quy định tại </w:t>
      </w:r>
      <w:bookmarkStart w:id="10" w:name="dc_4"/>
      <w:r w:rsidRPr="00333086">
        <w:rPr>
          <w:rFonts w:ascii="Arial" w:eastAsia="Times New Roman" w:hAnsi="Arial" w:cs="Arial"/>
          <w:color w:val="000000"/>
          <w:sz w:val="21"/>
          <w:szCs w:val="21"/>
        </w:rPr>
        <w:t>Điều 40 Nghị định 39/2019/NĐ-CP</w:t>
      </w:r>
      <w:bookmarkEnd w:id="10"/>
      <w:r w:rsidRPr="00333086">
        <w:rPr>
          <w:rFonts w:ascii="Arial" w:eastAsia="Times New Roman" w:hAnsi="Arial" w:cs="Arial"/>
          <w:color w:val="333333"/>
          <w:sz w:val="21"/>
          <w:szCs w:val="21"/>
        </w:rPr>
        <w:t> để xử lý đối với khoản nợ của DNNVV bị rủi ro dẫn đến Quỹ không thể thu hồi đầy đủ, đúng hạn nợ vay (gốc, lãi) theo đúng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w:t>
      </w:r>
      <w:r w:rsidRPr="00333086">
        <w:rPr>
          <w:rFonts w:ascii="Arial" w:eastAsia="Times New Roman" w:hAnsi="Arial" w:cs="Arial"/>
          <w:i/>
          <w:iCs/>
          <w:color w:val="333333"/>
          <w:sz w:val="21"/>
          <w:szCs w:val="21"/>
        </w:rPr>
        <w:t>“Điều chỉnh kỳ hạn trả nợ, số tiền trả nợ”</w:t>
      </w:r>
      <w:r w:rsidRPr="00333086">
        <w:rPr>
          <w:rFonts w:ascii="Arial" w:eastAsia="Times New Roman" w:hAnsi="Arial" w:cs="Arial"/>
          <w:color w:val="333333"/>
          <w:sz w:val="21"/>
          <w:szCs w:val="21"/>
        </w:rPr>
        <w:t> là việc Quỹ Phát triển DNNVV thay đổi các kỳ hạn trả nợ (gốc, lãi) hoặc số tiền trả nợ (gốc, lãi) đã thỏa thuận trước đó trong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w:t>
      </w:r>
      <w:r w:rsidRPr="00333086">
        <w:rPr>
          <w:rFonts w:ascii="Arial" w:eastAsia="Times New Roman" w:hAnsi="Arial" w:cs="Arial"/>
          <w:i/>
          <w:iCs/>
          <w:color w:val="333333"/>
          <w:sz w:val="21"/>
          <w:szCs w:val="21"/>
        </w:rPr>
        <w:t>“Gia hạn nợ”</w:t>
      </w:r>
      <w:r w:rsidRPr="00333086">
        <w:rPr>
          <w:rFonts w:ascii="Arial" w:eastAsia="Times New Roman" w:hAnsi="Arial" w:cs="Arial"/>
          <w:color w:val="333333"/>
          <w:sz w:val="21"/>
          <w:szCs w:val="21"/>
        </w:rPr>
        <w:t> là việc Quỹ và DNNVV cùng thống nhất kéo dài thời gian trả nợ (gốc, lãi) trong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w:t>
      </w:r>
      <w:r w:rsidRPr="00333086">
        <w:rPr>
          <w:rFonts w:ascii="Arial" w:eastAsia="Times New Roman" w:hAnsi="Arial" w:cs="Arial"/>
          <w:i/>
          <w:iCs/>
          <w:color w:val="333333"/>
          <w:sz w:val="21"/>
          <w:szCs w:val="21"/>
        </w:rPr>
        <w:t>“Khoanh nợ” </w:t>
      </w:r>
      <w:r w:rsidRPr="00333086">
        <w:rPr>
          <w:rFonts w:ascii="Arial" w:eastAsia="Times New Roman" w:hAnsi="Arial" w:cs="Arial"/>
          <w:color w:val="333333"/>
          <w:sz w:val="21"/>
          <w:szCs w:val="21"/>
        </w:rPr>
        <w:t>là việc Quỹ tạm thời chưa thu một phần hoặc toàn bộ nợ (gốc, lãi) của DNNVV trong khoảng thời gian nhất định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w:t>
      </w:r>
      <w:r w:rsidRPr="00333086">
        <w:rPr>
          <w:rFonts w:ascii="Arial" w:eastAsia="Times New Roman" w:hAnsi="Arial" w:cs="Arial"/>
          <w:i/>
          <w:iCs/>
          <w:color w:val="333333"/>
          <w:sz w:val="21"/>
          <w:szCs w:val="21"/>
        </w:rPr>
        <w:t>“Nợ lãi”</w:t>
      </w:r>
      <w:r w:rsidRPr="00333086">
        <w:rPr>
          <w:rFonts w:ascii="Arial" w:eastAsia="Times New Roman" w:hAnsi="Arial" w:cs="Arial"/>
          <w:color w:val="333333"/>
          <w:sz w:val="21"/>
          <w:szCs w:val="21"/>
        </w:rPr>
        <w:t> là khoản tiền lãi DNNVV chưa thanh toán cho Quỹ, được tính trên nợ gốc và mức lãi suất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8. </w:t>
      </w:r>
      <w:r w:rsidRPr="00333086">
        <w:rPr>
          <w:rFonts w:ascii="Arial" w:eastAsia="Times New Roman" w:hAnsi="Arial" w:cs="Arial"/>
          <w:i/>
          <w:iCs/>
          <w:color w:val="333333"/>
          <w:sz w:val="21"/>
          <w:szCs w:val="21"/>
        </w:rPr>
        <w:t>“Xóa nợ lãi”</w:t>
      </w:r>
      <w:r w:rsidRPr="00333086">
        <w:rPr>
          <w:rFonts w:ascii="Arial" w:eastAsia="Times New Roman" w:hAnsi="Arial" w:cs="Arial"/>
          <w:color w:val="333333"/>
          <w:sz w:val="21"/>
          <w:szCs w:val="21"/>
        </w:rPr>
        <w:t> là việc Quỹ không thu một phần hoặc toàn bộ nợ lãi của DNNVV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9. </w:t>
      </w:r>
      <w:r w:rsidRPr="00333086">
        <w:rPr>
          <w:rFonts w:ascii="Arial" w:eastAsia="Times New Roman" w:hAnsi="Arial" w:cs="Arial"/>
          <w:i/>
          <w:iCs/>
          <w:color w:val="333333"/>
          <w:sz w:val="21"/>
          <w:szCs w:val="21"/>
        </w:rPr>
        <w:t>“Nợ gốc”</w:t>
      </w:r>
      <w:r w:rsidRPr="00333086">
        <w:rPr>
          <w:rFonts w:ascii="Arial" w:eastAsia="Times New Roman" w:hAnsi="Arial" w:cs="Arial"/>
          <w:color w:val="333333"/>
          <w:sz w:val="21"/>
          <w:szCs w:val="21"/>
        </w:rPr>
        <w:t> là khoản tiền đã được Quỹ giải ngân cho DNNVV vay, nhưng DNNVV chưa hoàn trả cho Quỹ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10. </w:t>
      </w:r>
      <w:r w:rsidRPr="00333086">
        <w:rPr>
          <w:rFonts w:ascii="Arial" w:eastAsia="Times New Roman" w:hAnsi="Arial" w:cs="Arial"/>
          <w:i/>
          <w:iCs/>
          <w:color w:val="333333"/>
          <w:sz w:val="21"/>
          <w:szCs w:val="21"/>
        </w:rPr>
        <w:t>“Xóa nợ gốc”</w:t>
      </w:r>
      <w:r w:rsidRPr="00333086">
        <w:rPr>
          <w:rFonts w:ascii="Arial" w:eastAsia="Times New Roman" w:hAnsi="Arial" w:cs="Arial"/>
          <w:color w:val="333333"/>
          <w:sz w:val="21"/>
          <w:szCs w:val="21"/>
        </w:rPr>
        <w:t> là việc Quỹ không thu một phần hoặc toàn bộ nợ gốc của DNNVV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11. </w:t>
      </w:r>
      <w:r w:rsidRPr="00333086">
        <w:rPr>
          <w:rFonts w:ascii="Arial" w:eastAsia="Times New Roman" w:hAnsi="Arial" w:cs="Arial"/>
          <w:i/>
          <w:iCs/>
          <w:color w:val="333333"/>
          <w:sz w:val="21"/>
          <w:szCs w:val="21"/>
        </w:rPr>
        <w:t>“Bán nợ”</w:t>
      </w:r>
      <w:r w:rsidRPr="00333086">
        <w:rPr>
          <w:rFonts w:ascii="Arial" w:eastAsia="Times New Roman" w:hAnsi="Arial" w:cs="Arial"/>
          <w:color w:val="333333"/>
          <w:sz w:val="21"/>
          <w:szCs w:val="21"/>
        </w:rPr>
        <w:t> là việc Quỹ chuyển giao một phần hoặc toàn bộ quyền đòi nợ và các quyền khác có liên quan đến khoản nợ của DNNVV cho bên mua nợ và nhận thanh toán từ bên mua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12. </w:t>
      </w:r>
      <w:r w:rsidRPr="00333086">
        <w:rPr>
          <w:rFonts w:ascii="Arial" w:eastAsia="Times New Roman" w:hAnsi="Arial" w:cs="Arial"/>
          <w:i/>
          <w:iCs/>
          <w:color w:val="333333"/>
          <w:sz w:val="21"/>
          <w:szCs w:val="21"/>
        </w:rPr>
        <w:t>“Giá trị số sách của khoản nợ”</w:t>
      </w:r>
      <w:r w:rsidRPr="00333086">
        <w:rPr>
          <w:rFonts w:ascii="Arial" w:eastAsia="Times New Roman" w:hAnsi="Arial" w:cs="Arial"/>
          <w:color w:val="333333"/>
          <w:sz w:val="21"/>
          <w:szCs w:val="21"/>
        </w:rPr>
        <w:t> là tổng giá trị số dư nợ gốc, nợ lãi và các nghĩa vụ tài chính khác liên quan đến khoản nợ của DNNVV (nếu có) được theo dõi trong sổ sách kế toán của Quỹ theo quy định của pháp luật.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13. </w:t>
      </w:r>
      <w:r w:rsidRPr="00333086">
        <w:rPr>
          <w:rFonts w:ascii="Arial" w:eastAsia="Times New Roman" w:hAnsi="Arial" w:cs="Arial"/>
          <w:i/>
          <w:iCs/>
          <w:color w:val="333333"/>
          <w:sz w:val="21"/>
          <w:szCs w:val="21"/>
        </w:rPr>
        <w:t>“Bên mua nợ”</w:t>
      </w:r>
      <w:r w:rsidRPr="00333086">
        <w:rPr>
          <w:rFonts w:ascii="Arial" w:eastAsia="Times New Roman" w:hAnsi="Arial" w:cs="Arial"/>
          <w:color w:val="333333"/>
          <w:sz w:val="21"/>
          <w:szCs w:val="21"/>
        </w:rPr>
        <w:t> là các tổ chức, cá nhân có chức năng mua bán, nợ theo quy định của pháp luật.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14. </w:t>
      </w:r>
      <w:r w:rsidRPr="00333086">
        <w:rPr>
          <w:rFonts w:ascii="Arial" w:eastAsia="Times New Roman" w:hAnsi="Arial" w:cs="Arial"/>
          <w:i/>
          <w:iCs/>
          <w:color w:val="333333"/>
          <w:sz w:val="21"/>
          <w:szCs w:val="21"/>
        </w:rPr>
        <w:t>“Bên môi giới”</w:t>
      </w:r>
      <w:r w:rsidRPr="00333086">
        <w:rPr>
          <w:rFonts w:ascii="Arial" w:eastAsia="Times New Roman" w:hAnsi="Arial" w:cs="Arial"/>
          <w:color w:val="333333"/>
          <w:sz w:val="21"/>
          <w:szCs w:val="21"/>
        </w:rPr>
        <w:t> là các tổ chức, cá nhân có chức năng môi giới mua, bán nợ theo quy định của pháp luật.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15. </w:t>
      </w:r>
      <w:r w:rsidRPr="00333086">
        <w:rPr>
          <w:rFonts w:ascii="Arial" w:eastAsia="Times New Roman" w:hAnsi="Arial" w:cs="Arial"/>
          <w:i/>
          <w:iCs/>
          <w:color w:val="333333"/>
          <w:sz w:val="21"/>
          <w:szCs w:val="21"/>
        </w:rPr>
        <w:t>“Xử lý tài sản bảo đảm”</w:t>
      </w:r>
      <w:r w:rsidRPr="00333086">
        <w:rPr>
          <w:rFonts w:ascii="Arial" w:eastAsia="Times New Roman" w:hAnsi="Arial" w:cs="Arial"/>
          <w:color w:val="333333"/>
          <w:sz w:val="21"/>
          <w:szCs w:val="21"/>
        </w:rPr>
        <w:t> là việc Quỹ thực hiện các biện pháp xử lý đối với tài sản bảo đảm của DNNVV nhằm thu hồi khoản nợ (gốc, lãi) của DNNVV.</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16. </w:t>
      </w:r>
      <w:r w:rsidRPr="00333086">
        <w:rPr>
          <w:rFonts w:ascii="Arial" w:eastAsia="Times New Roman" w:hAnsi="Arial" w:cs="Arial"/>
          <w:i/>
          <w:iCs/>
          <w:color w:val="333333"/>
          <w:sz w:val="21"/>
          <w:szCs w:val="21"/>
        </w:rPr>
        <w:t>“Dự phòng rủi ro”</w:t>
      </w:r>
      <w:r w:rsidRPr="00333086">
        <w:rPr>
          <w:rFonts w:ascii="Arial" w:eastAsia="Times New Roman" w:hAnsi="Arial" w:cs="Arial"/>
          <w:color w:val="333333"/>
          <w:sz w:val="21"/>
          <w:szCs w:val="21"/>
        </w:rPr>
        <w:t> là khoản tiền được Quỹ trích lập theo quy định tại Nghị định số </w:t>
      </w:r>
      <w:hyperlink r:id="rId7" w:tgtFrame="_blank" w:tooltip="Nghị định 39/2019/NĐ-CP" w:history="1">
        <w:r w:rsidRPr="00824E6E">
          <w:rPr>
            <w:rFonts w:ascii="Arial" w:eastAsia="Times New Roman" w:hAnsi="Arial" w:cs="Arial"/>
            <w:color w:val="000000" w:themeColor="text1"/>
            <w:sz w:val="21"/>
            <w:szCs w:val="21"/>
          </w:rPr>
          <w:t>39/2019/NĐ-CP</w:t>
        </w:r>
      </w:hyperlink>
      <w:r w:rsidRPr="00333086">
        <w:rPr>
          <w:rFonts w:ascii="Arial" w:eastAsia="Times New Roman" w:hAnsi="Arial" w:cs="Arial"/>
          <w:color w:val="333333"/>
          <w:sz w:val="21"/>
          <w:szCs w:val="21"/>
        </w:rPr>
        <w:t> để dự phòng bù đắp cho những tổn thất có thể xảy ra do DNNVV không thực hiện được nghĩa vụ trả nợ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11" w:name="dieu_4"/>
      <w:r w:rsidRPr="00333086">
        <w:rPr>
          <w:rFonts w:ascii="Arial" w:eastAsia="Times New Roman" w:hAnsi="Arial" w:cs="Arial"/>
          <w:b/>
          <w:bCs/>
          <w:color w:val="000000"/>
          <w:sz w:val="21"/>
          <w:szCs w:val="21"/>
        </w:rPr>
        <w:t>Điều 4. Nguyên tắc xử lý rủi ro của Quỹ</w:t>
      </w:r>
      <w:bookmarkEnd w:id="11"/>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Việc xử lý rủi ro của Quỹ phải đảm bảo tuân thủ nguyên tắc được quy định tại </w:t>
      </w:r>
      <w:bookmarkStart w:id="12" w:name="dc_5"/>
      <w:r w:rsidRPr="00333086">
        <w:rPr>
          <w:rFonts w:ascii="Arial" w:eastAsia="Times New Roman" w:hAnsi="Arial" w:cs="Arial"/>
          <w:color w:val="000000"/>
          <w:sz w:val="21"/>
          <w:szCs w:val="21"/>
        </w:rPr>
        <w:t>Điều 39 Nghị định số 39/2019/NĐ-CP</w:t>
      </w:r>
      <w:bookmarkEnd w:id="12"/>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13" w:name="dieu_5"/>
      <w:r w:rsidRPr="00333086">
        <w:rPr>
          <w:rFonts w:ascii="Arial" w:eastAsia="Times New Roman" w:hAnsi="Arial" w:cs="Arial"/>
          <w:b/>
          <w:bCs/>
          <w:color w:val="000000"/>
          <w:sz w:val="21"/>
          <w:szCs w:val="21"/>
        </w:rPr>
        <w:t>Điều 5. Các trường hợ</w:t>
      </w:r>
      <w:bookmarkEnd w:id="13"/>
      <w:r w:rsidRPr="00333086">
        <w:rPr>
          <w:rFonts w:ascii="Arial" w:eastAsia="Times New Roman" w:hAnsi="Arial" w:cs="Arial"/>
          <w:b/>
          <w:bCs/>
          <w:color w:val="333333"/>
          <w:sz w:val="21"/>
          <w:szCs w:val="21"/>
        </w:rPr>
        <w:t>p được xem xét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DNNVV bị thiệt hại về tài chính, tài sản do thiên tai, thảm họa, mất mùa, dịch bệnh, hỏa hoạn, chiến tranh, tình trạng khẩn cấp quốc gia.</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DNNVV gặp rủi ro do nguyên nhân khách quan khác làm ảnh hưởng trực tiếp đến hoạt động sản xuất kinh doanh, dẫn đến không có khả năng hoặc không trả được nợ vay (gốc, lãi) theo đúng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3. DNNVV có khoản nợ xấu theo kết quả phân loại nợ được quy định tại </w:t>
      </w:r>
      <w:bookmarkStart w:id="14" w:name="dc_6"/>
      <w:r w:rsidRPr="00333086">
        <w:rPr>
          <w:rFonts w:ascii="Arial" w:eastAsia="Times New Roman" w:hAnsi="Arial" w:cs="Arial"/>
          <w:color w:val="000000"/>
          <w:sz w:val="21"/>
          <w:szCs w:val="21"/>
        </w:rPr>
        <w:t>khoản 1 Điều 37 Nghị định số 39/2019/NĐ-CP</w:t>
      </w:r>
      <w:bookmarkEnd w:id="14"/>
      <w:r w:rsidRPr="00333086">
        <w:rPr>
          <w:rFonts w:ascii="Arial" w:eastAsia="Times New Roman" w:hAnsi="Arial" w:cs="Arial"/>
          <w:color w:val="333333"/>
          <w:sz w:val="21"/>
          <w:szCs w:val="21"/>
        </w:rPr>
        <w:t> của Chính phủ và không thuộc các trường hợp quy định tại khoản 1 và khoản 2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DNNVV bị phá sản theo quy định của pháp luật hiện hành.</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15" w:name="dieu_6"/>
      <w:r w:rsidRPr="00333086">
        <w:rPr>
          <w:rFonts w:ascii="Arial" w:eastAsia="Times New Roman" w:hAnsi="Arial" w:cs="Arial"/>
          <w:b/>
          <w:bCs/>
          <w:color w:val="000000"/>
          <w:sz w:val="21"/>
          <w:szCs w:val="21"/>
        </w:rPr>
        <w:t>Điều 6. Xác định mức thiệt hại về vốn và tài sản</w:t>
      </w:r>
      <w:bookmarkEnd w:id="15"/>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Khi DNNVV vay vốn gặp rủi ro, Quỹ có trách nhiệm chủ trì, phối hợp các bên có liên quan gồm Quỹ, DNNVV và các cơ quan có chức năng, thẩm quyền (nếu có) tiến hành kiểm tra, đánh giá về rủi ro và lập Biên bản xác định mức thiệt hại về vốn và tài sản của DNNVV.</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Biên bản xác nhận mức thiệt hại về vốn và tài sản của DNNVV phải có xác nhận của các bên có liên quan và cần phải có các nội dung như sự việc xảy ra, rủi ro xảy ra, nguyên nhân xảy ra rủi ro, mức thiệt hại về vốn và tài sản.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Mức thiệt hại về vốn và tài sản của DNNVV là giá trị quy đổi thành tiền về tài sản và vốn bị tổn thất thực tế tại thời điểm lập biên bản.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Quỹ được thuê các tổ chức, cá nhân có chức năng thẩm định để đánh giá mức thiệt hại về vốn và tài sản của DNNVV.</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16" w:name="chuong_2"/>
      <w:r w:rsidRPr="00333086">
        <w:rPr>
          <w:rFonts w:ascii="Arial" w:eastAsia="Times New Roman" w:hAnsi="Arial" w:cs="Arial"/>
          <w:b/>
          <w:bCs/>
          <w:color w:val="000000"/>
          <w:sz w:val="21"/>
          <w:szCs w:val="21"/>
        </w:rPr>
        <w:t>Chương II</w:t>
      </w:r>
      <w:bookmarkEnd w:id="16"/>
    </w:p>
    <w:p w:rsidR="00333086" w:rsidRPr="00333086" w:rsidRDefault="00333086" w:rsidP="00333086">
      <w:pPr>
        <w:shd w:val="clear" w:color="auto" w:fill="FFFFFF"/>
        <w:spacing w:before="120" w:after="120" w:line="240" w:lineRule="auto"/>
        <w:jc w:val="center"/>
        <w:rPr>
          <w:rFonts w:ascii="Arial" w:eastAsia="Times New Roman" w:hAnsi="Arial" w:cs="Arial"/>
          <w:color w:val="333333"/>
          <w:sz w:val="21"/>
          <w:szCs w:val="21"/>
        </w:rPr>
      </w:pPr>
      <w:bookmarkStart w:id="17" w:name="chuong_2_name"/>
      <w:r w:rsidRPr="00333086">
        <w:rPr>
          <w:rFonts w:ascii="Arial" w:eastAsia="Times New Roman" w:hAnsi="Arial" w:cs="Arial"/>
          <w:b/>
          <w:bCs/>
          <w:color w:val="000000"/>
          <w:sz w:val="24"/>
          <w:szCs w:val="24"/>
        </w:rPr>
        <w:t>QUY ĐỊNH VỀ CÁC BIỆN PHÁP XỬ LÝ RỦI RO VÀ NGUỒN XỬ LÝ RỦI RO</w:t>
      </w:r>
      <w:bookmarkEnd w:id="17"/>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18" w:name="muc_1"/>
      <w:r w:rsidRPr="00333086">
        <w:rPr>
          <w:rFonts w:ascii="Arial" w:eastAsia="Times New Roman" w:hAnsi="Arial" w:cs="Arial"/>
          <w:b/>
          <w:bCs/>
          <w:color w:val="000000"/>
          <w:sz w:val="21"/>
          <w:szCs w:val="21"/>
        </w:rPr>
        <w:t>Mục I. CÁC BIỆN PHÁP XỬ LÝ RỦI RO</w:t>
      </w:r>
      <w:bookmarkEnd w:id="18"/>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19" w:name="dieu_7"/>
      <w:r w:rsidRPr="00333086">
        <w:rPr>
          <w:rFonts w:ascii="Arial" w:eastAsia="Times New Roman" w:hAnsi="Arial" w:cs="Arial"/>
          <w:b/>
          <w:bCs/>
          <w:color w:val="000000"/>
          <w:sz w:val="21"/>
          <w:szCs w:val="21"/>
        </w:rPr>
        <w:t>Điều 7. Điều chỉnh kỳ hạn trả nợ, số tiền trả nợ</w:t>
      </w:r>
      <w:bookmarkEnd w:id="19"/>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trường hợp quy định tại khoản 1 hoặc khoản 2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được xem xét điều chỉnh kỳ hạn trả nợ, số tiền trả nợ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Gặp khó khăn trong hoạt động sản xuất kinh doanh, dẫn đến không trả được nợ (gốc, lãi) đầy đủ, đúng hạn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Có đầy đủ hồ sơ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Hồ sơ đề nghị xử lý rủi ro do DNNVV chuẩn bị gửi đến Quỹ gồm có:</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Văn bản đề nghị xử lý rủi ro do người đại diện theo pháp luật của doanh nghiệp ký và bao gồm các nội dung: Nguyên nhân dẫn đến rủi ro không trả được nợ theo đúng Hợp đồng đã ký; mức thiệt hại về vốn và tài sản; số dư nợ gốc và lãi còn phải trả; các biện pháp xử lý rủi ro đã được áp dụng (nếu có) và kiến nghị biện pháp xử lý rủi ro cụ thể cần được áp dụng; cam kết về tính khả thi của phương án sản xuất kinh doanh, phương án trả nợ vay nếu dược chấp nhận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Bản sao có chứng thực Báo cáo tài chính được kiểm toán độc lập hoặc Báo cáo tài chính đã gửi cơ quan thuế của hai (02) năm gần nhất trước then điểm đề nghị xử lý rủi ro của DNNVV hoặc Báo cáo tài chính được kiểm toán độc lập hoặc Báo cáo tài chính đã gửi cơ quan thuế của năm trước thời điểm đề nghị xử lý rủi ro đối với DNNVV có thời gian hoạt động dưới 2 năm;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Sao y bản chính Bản đối chiếu nợ vay đến thời điểm đề nghị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Các văn bản, tài liệu có liên quan khác (nếu có).</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4. Hồ sơ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chuẩn bị 01 bộ hồ sơ xử lý rủi ro gồm có:</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Hồ sơ đề nghị xử lý rủi ro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Biên bản xác nhận mức thiệt hại về vốn và tài sản của DNNVV.</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Báo cáo xử lý rủi ro của Quỹ gồm các nội dung sau: Tình hình sản xuất kinh doanh của DNNVV, tình hình trả nợ (gốc, lãi) theo Hợp đồng đã ký, rủi ro xảy ra, nguyên nhân dẫn đến rủi ro, mức thiệt hại về vốn và tài sản xảy ra đối với DNNVV, các biện pháp xử lý rủi ro đã được áp dụng và kết quả thực hiện (nếu có), kiến nghị biện pháp xử lý rủi ro cụ thể cần được áp dụng, sự cần thiết phải áp dụng biện pháp xử lý rủi ro đã đề xuất, khả năng trả nợ (gốc, lãi) của DNNVV sau khi được áp dụng biện pháp xử lý rủi ro đã đề xuất.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Các văn bản, tài liệu có liên quan khác (nếu có).</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xem xét, quyết định việc áp dụng biện pháp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Nguyên tắc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Một khoản nợ có thể được điều chỉnh kỳ hạn trả nợ, số tiền trả nợ làm nhiều lần.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Việc điều chỉnh kỳ hạn trả nợ, số tiền trả nợ phải trong phạm vi thời hạn cho vay, không làm thay đổi kỳ hạn trả nợ cuối cùng và tổng số tiền phải trả nợ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Sau khi nhận được đầy đủ bộ hồ sơ theo quy định tại khoản 3 Điều này, Quỹ có trách nhiệm tổ chức thẩm định, đánh giá về rủi ro, xác định mức thiệt hại về vốn và tài sản xảy ra đối với DNNVV, quyết định và tổ chức thực hiện điều chỉnh kỳ hạn trả nợ, số tiền trả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20" w:name="dieu_8"/>
      <w:r w:rsidRPr="00333086">
        <w:rPr>
          <w:rFonts w:ascii="Arial" w:eastAsia="Times New Roman" w:hAnsi="Arial" w:cs="Arial"/>
          <w:b/>
          <w:bCs/>
          <w:color w:val="000000"/>
          <w:sz w:val="21"/>
          <w:szCs w:val="21"/>
        </w:rPr>
        <w:t>Điều 8. Gia hạn nợ vay</w:t>
      </w:r>
      <w:bookmarkEnd w:id="20"/>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một trong các trường hợp quy định tại khoản 1, 2 và 3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được xem xét gia hạn nợ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Gặp khó khăn trong hoạt động sản xuất kinh doanh, dẫn đến không trả được nợ (gốc, lãi) đầy đủ, đúng hạn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Có đầy đủ hồ sơ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gia hạn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chuẩn bị 01 bộ hồ sơ theo quy định tại khoản 3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Hồ sơ gia hạn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chuẩn bị hồ sơ theo quy định tại khoản 4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gia hạn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xem xét, quyết định việc áp dụng biện pháp gia hạn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Nguyên tắc gia hạn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a) Một khoản nợ có thể được gia hạn nợ nhiều lần.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Việc gia hạn nợ phải trong phạm vi thời hạn cho vay và không vượt quá thời hạn tối đa cho vay theo quy định về cho vay trực tiếp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Gia hạn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Thực hiện theo quy định tại khoản 7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21" w:name="dieu_9"/>
      <w:r w:rsidRPr="00333086">
        <w:rPr>
          <w:rFonts w:ascii="Arial" w:eastAsia="Times New Roman" w:hAnsi="Arial" w:cs="Arial"/>
          <w:b/>
          <w:bCs/>
          <w:color w:val="000000"/>
          <w:sz w:val="21"/>
          <w:szCs w:val="21"/>
        </w:rPr>
        <w:t>Điều 9. Khoanh nợ</w:t>
      </w:r>
      <w:bookmarkEnd w:id="21"/>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một trong các trường hợp quy định tại khoản 1, 2 và 3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được xem xét khoanh nợ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Gặp khó khăn trong hoạt động sản xuất kinh doanh, dẫn đến kết quả sản xuất kinh doanh của DNNVV trong ít nhất một (01) năm liền kề trước năm phải xử lý rủi ro bị lỗ hoặc lỗ lũy kế, không trả được nợ (gốc, lãi) đầy đủ, đúng hạn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Có đầy đủ hồ sơ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chuẩn bị 01 bộ hồ sơ theo quy định tại khoản 3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Hồ Sơ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chuẩn bị hồ sơ theo quy định tại khoản 4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báo cáo Bộ trưởng Bộ Kế hoạch và Đầu tư xem xét, quyết định áp dụng biện pháp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Nguyên tắc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Một khoản nợ có thể được khoanh nợ nhiều lần.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Tổng thời gian khoanh nợ tối đa không quá 03 năm, thời gian khoanh nợ không tính vào thời gian vay vốn.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Trong thời gian khoanh nợ, DNNVV không phải chịu lãi phát sinh, chưa phải trả nợ gốc và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Thực hiện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Sau khi nhận được đầy đủ bộ hồ sơ theo quy định tại khoản 3 Điều này, Quỹ có trách nhiệm tổ chức thẩm định, đánh giá về rủi ro, xác định mức thiệt hại về vốn và tài sản xảy ra đối với DNNVV, có Báo cáo xử lý rủi ro và trình cấp có thẩm quyền quyết định.</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Sau khi có quyết định xử lý rủi ro, Quỹ có trách nhiệm thực hiện khoanh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22" w:name="dieu_10"/>
      <w:r w:rsidRPr="00333086">
        <w:rPr>
          <w:rFonts w:ascii="Arial" w:eastAsia="Times New Roman" w:hAnsi="Arial" w:cs="Arial"/>
          <w:b/>
          <w:bCs/>
          <w:color w:val="000000"/>
          <w:sz w:val="21"/>
          <w:szCs w:val="21"/>
        </w:rPr>
        <w:t>Điều 10. Bán nợ</w:t>
      </w:r>
      <w:bookmarkEnd w:id="22"/>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một trong các trường hợp quy định tại khoản 1, 2 và 3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DNNVV được xem xét bán nợ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Gặp khó khăn trong hoạt động sản xuất kinh doanh, dẫn đến kết quả sản xuất kinh doanh của DNNVV trong ít nhất một (01) năm liền kề trước năm phải xử lý rủi ro bị lỗ hoặc lỗ lũy kế, không trả được nợ (gốc, lãi) đầy đủ, đúng hạn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Có đầy đủ hồ sơ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chuẩn bị 01 bộ hồ sơ theo quy định tại khoản 3 Điều 7 Thông tư này. Trường hợp DNVVV đề nghị bán nợ cho toàn bộ giá trị số sách của khoản nợ, Văn bản đề nghị xử lý rủi ro không cần có nội dung về cam kết và phương án sản xuất kinh doanh, phương án trả nợ vay khả thi nếu được chấp nhận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chuẩn bị 01 bộ hồ sơ đề nghị bán nợ gồm có:</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Văn bản đề xuất xử lý rủi ro của Quỹ gồm các nội dung: nguyên nhân dẫn đến rủi ro không trả được nợ theo đúng hợp đồng đã ký, số dư nợ gốc và lãi còn phải trả. Văn bản đề xuất xử lý rủi ro phải nêu rõ các biện pháp xử lý rủi ro đã được áp dụng (nếu có) và đề xuất biện pháp xử lý rủi ro cần được áp dụng.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Biên bản xác nhận mức thiệt hại về vốn và tài sản của DNNVV (không cần có xác nhận của DNNVV).</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Hồ sơ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xử lý rủi ro: Hồ sơ bán nợ gồm các văn bản, giấy tờ theo quy định tại điểm a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xử lý rủi ro: Hồ sơ bán nợ gồm các văn bản, giấy tờ theo quy định tại điểm b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Báo cáo xử lý rủi ro của Quỹ: Ngoài các nội dung quy định tại điếm c khoản 4 Điều 7 Thông tư này, Báo cáo xử lý rủi ro phải có thêm nội dung kiến nghị việc bán nợ cho một phần hay toàn bộ giá trị sổ sách của khoản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Bản chính văn bản đề nghị hoặc chấp thuận mua nợ của Bên mua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đ) Các văn bản, giấy tờ khác theo quy định của pháp luật và theo đề nghị của Bên mua nợ (nếu có).</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áp dụng biện pháp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bán nợ không làm giảm vốn điều lệ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xem xét, quyết định áp dụng biện pháp bán nợ theo quy định tại </w:t>
      </w:r>
      <w:bookmarkStart w:id="23" w:name="dc_7"/>
      <w:r w:rsidRPr="00333086">
        <w:rPr>
          <w:rFonts w:ascii="Arial" w:eastAsia="Times New Roman" w:hAnsi="Arial" w:cs="Arial"/>
          <w:color w:val="000000"/>
          <w:sz w:val="21"/>
          <w:szCs w:val="21"/>
        </w:rPr>
        <w:t>điểm c khoản 1 Điều 41 Nghị định số 39/2019/NĐ-CP</w:t>
      </w:r>
      <w:bookmarkEnd w:id="23"/>
      <w:r w:rsidRPr="00333086">
        <w:rPr>
          <w:rFonts w:ascii="Arial" w:eastAsia="Times New Roman" w:hAnsi="Arial" w:cs="Arial"/>
          <w:color w:val="333333"/>
          <w:sz w:val="21"/>
          <w:szCs w:val="21"/>
        </w:rPr>
        <w:t> và các quy định của Ngân hàng Nhà nước về hoạt động mua,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bán nợ làm giảm vốn điều lệ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chuẩn bị 01 bộ hồ sơ xử lý rủi ro, báo cáo Bộ Kế hoạch và Đầu tư chủ trì, phối hợp với Bộ Tài chính trình Thủ tướng Chính phủ xem xét, quyết định áp dụng biện pháp bán nợ theo quy định tại </w:t>
      </w:r>
      <w:bookmarkStart w:id="24" w:name="dc_8"/>
      <w:r w:rsidRPr="00333086">
        <w:rPr>
          <w:rFonts w:ascii="Arial" w:eastAsia="Times New Roman" w:hAnsi="Arial" w:cs="Arial"/>
          <w:color w:val="000000"/>
          <w:sz w:val="21"/>
          <w:szCs w:val="21"/>
        </w:rPr>
        <w:t>điểm a khoản 1 Điều 41 Nghị định số 39/2019/NĐ-CP</w:t>
      </w:r>
      <w:bookmarkEnd w:id="24"/>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Nguyên tắc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a) Việc mua, bán nợ giữa Quỹ và bên mua nợ thực hiện theo các quy định của Ngân hàng Nhà nước về hoạt động mua, bán nợ của tổ chức tín dụng, chi nhánh ngân hàng nước ngoài và các quy định pháp luật khác có liên quan.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Một khoản nợ có thể được bán một phần hay toàn bộ giá trị sổ sách của khoản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Việc bán nợ theo phương thức đấu giá được ưu tiên áp dụng trước. Trường hợp bán đấu giá không thành công, Quỹ được xem xét, áp dụng phương thức bán nợ theo thỏa thuận.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Phương thức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Bán nợ theo phương thức đấu giá</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Quỹ thuê tổ chức đấu giá được thành lập và hoạt động theo quy định pháp luật hoặc tự tổ chức bán đấu giá khoản nợ theo quy định của pháp luật về đấu giá tài sản.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Việc xác định giá khởi điểm theo phương thức bán đấu giá được thực hiện theo quy định của Ngân hàng Nhà nước Việt Nam về định giá khoản nợ trong hoạt động mua, bán nợ của tổ chức tín dụng.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Bán nợ theo phương thức thỏa thuận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Quỹ và bên mua nợ trực tiếp thỏa thuận việc mua bán nợ hoặc thông qua bên môi giới theo nguyên tắc thị trường.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Việc xác định giá bán nợ theo phương thức thỏa thuận được thực hiện theo quy định của Ngân hàng Nhà nước Việt Nam về định giá khoản nợ trong hoạt động mua, bán nợ của tổ chức tín dụng.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8. Hợp đồng mua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Việc bán nợ của Quỹ được thực hiện thông qua Hợp đồng mua, bán nợ, trong đó xác định rõ giá bán nợ, việc chuyển quyền chủ nợ từ Quỹ sang bên mua nợ và các thỏa thuận khác có liên quan.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9. Xử lý phần chênh lệch giữa giá bán nợ và giá trị số sách của khoản nợ (sau khi trừ đi các chi phí theo quy định của pháp luật).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giá bán nợ cao hơn giá trị số sách của khoản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Phần chênh lệch thừa được thực hiện theo quy định tại </w:t>
      </w:r>
      <w:bookmarkStart w:id="25" w:name="dc_9"/>
      <w:r w:rsidRPr="00333086">
        <w:rPr>
          <w:rFonts w:ascii="Arial" w:eastAsia="Times New Roman" w:hAnsi="Arial" w:cs="Arial"/>
          <w:color w:val="000000"/>
          <w:sz w:val="21"/>
          <w:szCs w:val="21"/>
        </w:rPr>
        <w:t>điểm c khoản 3 Điều 51 Nghị định số 39/2019/NĐ-CP</w:t>
      </w:r>
      <w:bookmarkEnd w:id="25"/>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giá bán nợ thấp hơn giá trị số sách của khoản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Phần chênh lệch thiếu được thực hiện theo quy định tại </w:t>
      </w:r>
      <w:bookmarkStart w:id="26" w:name="dc_10"/>
      <w:r w:rsidRPr="00333086">
        <w:rPr>
          <w:rFonts w:ascii="Arial" w:eastAsia="Times New Roman" w:hAnsi="Arial" w:cs="Arial"/>
          <w:color w:val="000000"/>
          <w:sz w:val="21"/>
          <w:szCs w:val="21"/>
        </w:rPr>
        <w:t>điểm a khoản 1 Điều 42 và điểm b khoản 3 Điều 51 Nghị định số 39/2019/NĐ-CP</w:t>
      </w:r>
      <w:bookmarkEnd w:id="26"/>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10. Hạch toán kế toán trong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thực hiện hạch toán kế toán việc bán nợ theo quy định hiện hành về chế độ kế toán áp dụng đối với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11. Thực hiện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Bán nợ thuộc thẩm quyền quyết định của Quỹ: thực hiện theo quy định tại khoản 7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Bán nợ thuộc thẩm quyền quyết định của Thủ tướng: thực hiện theo quy định tại khoản 7 Điều 9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bán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Quỹ thẩm định, đánh giá về rủi ro, xác định mức thiệt hại về vốn và tài sản xảy ra đối với DNNVV, có Báo cáo xử lý rủi ro và trình cấp có thẩm quyền quyết định; thực hiện bán nợ sau khi có quyết định bán nợ của cấp có thẩm quyền.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27" w:name="dieu_11"/>
      <w:r w:rsidRPr="00333086">
        <w:rPr>
          <w:rFonts w:ascii="Arial" w:eastAsia="Times New Roman" w:hAnsi="Arial" w:cs="Arial"/>
          <w:b/>
          <w:bCs/>
          <w:color w:val="000000"/>
          <w:sz w:val="21"/>
          <w:szCs w:val="21"/>
        </w:rPr>
        <w:t>Điều 11. Xử lý tài sản bảo đảm</w:t>
      </w:r>
      <w:bookmarkEnd w:id="27"/>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một trong các trường hợp quy định tại khoản 1, 2 và 3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được xem xét xử lý tài sản bảo đảm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Gặp khó khăn trong hoạt động sản xuất kinh doanh, dẫn đến kết quả sản xuất kinh doanh của DNNVV trong ít nhất một (01) năm liền kề trước năm phải xử lý rủi ro bị lỗ hoặc lỗ lũy kế, không trả được nợ (gốc, lãi) đầy đủ, đúng hạn theo Hợp đồng đã ký.</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Có đầy đủ hồ sơ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chuẩn bị 01 bộ hồ sơ theo quy định tại khoản 3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Trường hợp DNNVV đề nghị xử lý tài sản bảo đảm cho toàn bộ giá trị sổ sách của khoản nợ, văn bản đề nghị xử lý rủi ro không cần có nội dung về cam kết và phương án sản xuất kinh doanh, phương án trả nợ vay khả thi nếu được chấp nhận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xử lý rủi ro: Quỹ chuẩn bị 01 bộ hồ sơ theo quy định tại điểm b khoản 3 Điều 10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Hồ sơ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xử lý rủi ro: Hồ sơ theo quy định tại điểm a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xử lý rủi ro: Hồ sơ theo quy định tại điểm b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Báo cáo xử lý rủi ro của Quỹ: Ngoài các nội dung quy định tại điểm c khoản 4 Điều 7, Báo cáo xử lý rủi ro phải có thêm nội dung kiến nghị việc xử lý tài sản đảm bảo cho một phần hay toàn bộ giá trị sổ sách của khoản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Các văn bản, giấy tờ khác theo quy định của pháp luật về xử lý tài sản đảm bảo.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áp dụng biện pháp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xử lý tài sản bảo đảm không làm giảm vốn điều lệ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xem xét, quyết định việc áp dụng biện pháp xử lý tài sản bảo đảm theo quy định tại </w:t>
      </w:r>
      <w:bookmarkStart w:id="28" w:name="dc_11"/>
      <w:r w:rsidRPr="00333086">
        <w:rPr>
          <w:rFonts w:ascii="Arial" w:eastAsia="Times New Roman" w:hAnsi="Arial" w:cs="Arial"/>
          <w:color w:val="000000"/>
          <w:sz w:val="21"/>
          <w:szCs w:val="21"/>
        </w:rPr>
        <w:t>điểm c khoản 1 Điều 41 Nghị định số 39/2019/NĐ-CP</w:t>
      </w:r>
      <w:bookmarkEnd w:id="28"/>
      <w:r w:rsidRPr="00333086">
        <w:rPr>
          <w:rFonts w:ascii="Arial" w:eastAsia="Times New Roman" w:hAnsi="Arial" w:cs="Arial"/>
          <w:color w:val="333333"/>
          <w:sz w:val="21"/>
          <w:szCs w:val="21"/>
        </w:rPr>
        <w:t>, quy định của Bộ Luật dân sự 2015 và các quy định pháp luật có liên quan về việc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xử lý tài sản bảo đảm làm giảm vốn điều lệ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chuẩn bị hồ sơ xử lý tài sản bảo đảm, báo cáo Bộ Kế hoạch và Đầu tư chủ trì, phối hợp với Bộ Tài chính trình Thủ tướng Chính phủ xem xét, quyết định việc áp dụng biện pháp xử lý tài sản bảo đảm theo quy định tại </w:t>
      </w:r>
      <w:bookmarkStart w:id="29" w:name="dc_12"/>
      <w:r w:rsidRPr="00333086">
        <w:rPr>
          <w:rFonts w:ascii="Arial" w:eastAsia="Times New Roman" w:hAnsi="Arial" w:cs="Arial"/>
          <w:color w:val="000000"/>
          <w:sz w:val="21"/>
          <w:szCs w:val="21"/>
        </w:rPr>
        <w:t>điểm a khoản 1 Điều 41 Nghị định số 39/2019/NĐ-CP</w:t>
      </w:r>
      <w:bookmarkEnd w:id="29"/>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Các phương thức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a) Bán đấu giá tài sản;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Bên nhận bảo đảm tự bán tài sản;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Bên nhận bảo đảm nhận chính tài sản để thay thế cho việc thực hiện nghĩa vụ của bên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Phương thức khác theo quy định pháp luật về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Nguyên tắc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Một khoản nợ có thể được xử lý tài sản bảo đảm nhiều lần cho một phần hoặc toàn bộ giá trị số sách của khoản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Việc xử lý tài sản bảo đảm được thực hiện theo quy định của Bộ Luật dân sự và các quy định pháp luật có liên quan về việc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Phương thức xử lý tài sản bảo đảm phải được quy định trong Hợp đồng cầm cố, thế chấp tài sản. Trường hợp không có thỏa thuận về phương thức xử lý tài sản bảo đảm thì tài sản được xử lý theo phương thức bán đấu giá</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8. Xử lý phần chênh lệch giữa số tiền thu về từ xử lý tài sản bảo đảm và giá trị sổ sách của khoản nợ (sau khi trừ đi các chi phí theo quy định của pháp luật)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số tiền thu về từ việc xử lý tài sản bảo đảm cao hơn giá trị số sách của khoản nợ, phần chênh lệch thừa được xử lý theo thỏa thuận tại Hợp đồng đã ký (nếu có) hoặc chuyển trả cho DNNVV.</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số tiền thu về từ việc xử lý tài sản bảo đảm thấp hơn giá trị sổ sách của khoản nợ, xử lý phần chênh lệch thiếu được thực hiện theo quy định tại Nghị định số </w:t>
      </w:r>
      <w:hyperlink r:id="rId8" w:tgtFrame="_blank" w:tooltip="Nghị định 39/2019/NĐ-CP" w:history="1">
        <w:r w:rsidRPr="00333086">
          <w:rPr>
            <w:rFonts w:ascii="Arial" w:eastAsia="Times New Roman" w:hAnsi="Arial" w:cs="Arial"/>
            <w:sz w:val="21"/>
            <w:szCs w:val="21"/>
          </w:rPr>
          <w:t>39/2019/NĐ-CP</w:t>
        </w:r>
      </w:hyperlink>
      <w:r w:rsidRPr="00333086">
        <w:rPr>
          <w:rFonts w:ascii="Arial" w:eastAsia="Times New Roman" w:hAnsi="Arial" w:cs="Arial"/>
          <w:sz w:val="21"/>
          <w:szCs w:val="21"/>
        </w:rPr>
        <w:t> .</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quyền yêu cầu DNNVV thanh toán phần chênh lệch còn thiếu của khoản nợ. Khoản tiền thu được từ phần chênh lệch còn thiếu được thực hiện theo quy định tại </w:t>
      </w:r>
      <w:bookmarkStart w:id="30" w:name="dc_13"/>
      <w:r w:rsidRPr="00333086">
        <w:rPr>
          <w:rFonts w:ascii="Arial" w:eastAsia="Times New Roman" w:hAnsi="Arial" w:cs="Arial"/>
          <w:color w:val="000000"/>
          <w:sz w:val="21"/>
          <w:szCs w:val="21"/>
        </w:rPr>
        <w:t>điểm c khoản 3 Điều 51 Nghị định số 39/2019/NĐ-CP</w:t>
      </w:r>
      <w:bookmarkEnd w:id="30"/>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9. Hạch toán kế toán trong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thực hiện hạch toán kế toán việc xử lý tài sản bảo đảm theo quy định hiện hành về chế độ kế toán áp dụng đối với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10.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Thực hiện theo quy định tại khoản 11 Điều 10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31" w:name="dieu_12"/>
      <w:r w:rsidRPr="00333086">
        <w:rPr>
          <w:rFonts w:ascii="Arial" w:eastAsia="Times New Roman" w:hAnsi="Arial" w:cs="Arial"/>
          <w:b/>
          <w:bCs/>
          <w:color w:val="000000"/>
          <w:sz w:val="21"/>
          <w:szCs w:val="21"/>
        </w:rPr>
        <w:t>Điều 12. Xóa nợ lãi</w:t>
      </w:r>
      <w:bookmarkEnd w:id="31"/>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trường hợp quy định tại khoản 1 hoặc khoản 4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được xem xét xóa nợ lãi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Gặp khó khăn trong hoạt động sản xuất kinh doanh, dẫn đến kết quả sản xuất kinh doanh trong hai (02) năm liền kề trước năm phải xử lý rủi ro bị lỗ; hoặc còn lỗ lũy kế trong một (01) năm trước năm phải xử lý rủi ro (đối với DNNVV có thời gian hoạt động dưới 2 năm); không trả được nợ (gốc, lãi) đầy đủ, đúng hạn theo Hợp đồng đã ký (trừ trường hợp quy định tại khoản 4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Có đầy đủ hồ sơ đề nghị xử lý rủi ro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đ) Đối với trường hợp quy định tại khoản 1 Điều 5 Thông tư này: Khoản nợ của DNNVV đã được áp dụng biện pháp xử lý rủi ro quy định tại Điều 10 hoặc Điều 11 Thông tư này để thu hồi nợ (gốc và lãi), nhưng DNNVV vẫn còn phần nợ lãi còn lại chưa thu hồi được.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e) Đối với trường hợp quy định tại khoản 4 Điều 5 Thông tư này: Khoản nợ của DNNVV đã hoặc chưa được áp dụng biện pháp xử lý rủi ro quy định tại Điều 10 hoặc Điều 11 Thông tư này để thu hồi nợ lãi, nhưng DNNVV vẫn còn phần nợ lãi còn lại chưa thu hồi được.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có thể đề nghị xóa nợ lãi khi gặp rủi ro thuộc trường hợp quy định tại khoản 1 Điều 5 Thông tư này và chuẩn bị hồ sơ theo quy định tại khoản 3 Điều 7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đề nghị xóa nợ lãi cho DNNVV gặp rủi ro thuộc trường hợp quy định tại khoản 4 Điều 5 Thông tư này. Quỹ chuẩn bị Hồ sơ đề nghị xóa nợ lãi như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Hồ sơ theo quy định tại điểm b khoản 3 Điều 10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Quyết định của Cơ quan thi hành án về việc thi hành quyết định tuyên bố bị phá sản (bản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Hồ sơ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xóa nợ lãi: Hồ sơ theo quy định tại điểm a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xóa nợ lãi: Hồ sơ theo quy định tại điểm b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c) Báo cáo xử lý rủi ro của Quỹ: Ngoài các nội dung quy định tại điểm c khoản 4 Điều 7, Báo cáo xử lý rủi ro phải có thêm nội dung kiến nghị mức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áp dụng biện pháp xử lý rủi ro</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báo cáo Bộ trưởng Bộ Kế hoạch và Đầu tư xem xét, quyết định việc áp dụng biện pháp xóa nợ lãi theo quy định tại </w:t>
      </w:r>
      <w:bookmarkStart w:id="32" w:name="dc_14"/>
      <w:r w:rsidRPr="00333086">
        <w:rPr>
          <w:rFonts w:ascii="Arial" w:eastAsia="Times New Roman" w:hAnsi="Arial" w:cs="Arial"/>
          <w:color w:val="000000"/>
          <w:sz w:val="21"/>
          <w:szCs w:val="21"/>
        </w:rPr>
        <w:t>điểm b khoản 1 Điều 41 Nghị định số 39/2019/NĐ-CP</w:t>
      </w:r>
      <w:bookmarkEnd w:id="32"/>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Nguyên tắc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Mức xóa nợ lãi do người có thẩm quyền quy định tại khoản 5 Điều này quyết định.</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Một khoản nợ lãi chi được xóa một (01) lần.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Thực hiện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DNNVV đề nghị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Thực hiện theo quy định tại khoản 7 Điều 9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Quỹ đề nghị xóa nợ lãi</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Thực hiện theo quy định tại điểm b khoản 11 Điều 10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33" w:name="dieu_13"/>
      <w:r w:rsidRPr="00333086">
        <w:rPr>
          <w:rFonts w:ascii="Arial" w:eastAsia="Times New Roman" w:hAnsi="Arial" w:cs="Arial"/>
          <w:b/>
          <w:bCs/>
          <w:color w:val="000000"/>
          <w:sz w:val="21"/>
          <w:szCs w:val="21"/>
        </w:rPr>
        <w:t>Điều 13. Xóa nợ gốc</w:t>
      </w:r>
      <w:bookmarkEnd w:id="33"/>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Đối tượng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gặp rủi ro thuộc trường hợp quy định tại khoản 4 Điều 5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Điều kiện xem xét: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DNNVV được xem xét xóa nợ gốc khi đáp ứng đủ các điều kiện sau:</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Thuộc đối tượng quy định tại khoản 1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Sử dụng vốn vay đúng mục đích ghi trong Hợp đồng.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c) Có đầy đủ hồ sơ theo quy định tại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d) Khoản nợ của DNNVV đã hoặc chưa được áp dụng biện pháp xử lý rủi ro quy định tại Điều 11 Thông tư này để thu hồi nợ gốc, nhưng DNNVV vẫn còn phần nợ gốc còn lại chưa thu hồi được.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Hồ sơ đề nghị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chuẩn bị hồ sơ theo quy định tại điểm b khoản 3 Điều 12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4. Hồ sơ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Hồ sơ theo quy định tại điểm b khoản 3 Điều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Báo cáo xử lý rủi ro của Quỹ: Ngoài các nội dung quy định tại điểm c khoản 4 Điều 7, Báo cáo xử lý rủi ro phải có thêm nội dung kiến nghị mức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5. Thẩm quyền quyết định áp dụng biện pháp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Trường hợp xóa nợ gốc không làm giảm vốn điều lệ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báo cáo Bộ trưởng Bộ Kế hoạch và Đầu tư xem xét, quyết định áp dụng biện pháp xóa nợ gốc theo quy định tại </w:t>
      </w:r>
      <w:bookmarkStart w:id="34" w:name="dc_15"/>
      <w:r w:rsidRPr="00333086">
        <w:rPr>
          <w:rFonts w:ascii="Arial" w:eastAsia="Times New Roman" w:hAnsi="Arial" w:cs="Arial"/>
          <w:color w:val="000000"/>
          <w:sz w:val="21"/>
          <w:szCs w:val="21"/>
        </w:rPr>
        <w:t>điểm b khoản 1 Điều 41 Nghị định số 39/2019/NĐ-CP</w:t>
      </w:r>
      <w:bookmarkEnd w:id="34"/>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xóa nợ gốc làm giảm vốn điều lệ của Quỹ:</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Quỹ có trách nhiệm trình Bộ Kế hoạch và Đầu tư chủ trì, phối hợp với Bộ Tài chính báo cáo Thủ tướng Chính phủ xem xét, quyết định áp dụng biện pháp xóa nợ gốc theo quy định tại </w:t>
      </w:r>
      <w:bookmarkStart w:id="35" w:name="dc_16"/>
      <w:r w:rsidRPr="00333086">
        <w:rPr>
          <w:rFonts w:ascii="Arial" w:eastAsia="Times New Roman" w:hAnsi="Arial" w:cs="Arial"/>
          <w:color w:val="000000"/>
          <w:sz w:val="21"/>
          <w:szCs w:val="21"/>
        </w:rPr>
        <w:t>điểm a khoản 1 Điều 41 Nghị định số 39/2019/NĐ-CP</w:t>
      </w:r>
      <w:bookmarkEnd w:id="35"/>
      <w:r w:rsidRPr="00333086">
        <w:rPr>
          <w:rFonts w:ascii="Arial" w:eastAsia="Times New Roman" w:hAnsi="Arial" w:cs="Arial"/>
          <w:color w:val="333333"/>
          <w:sz w:val="21"/>
          <w:szCs w:val="21"/>
        </w:rPr>
        <w: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6. Nguyên tắc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Mức xóa nợ gốc do người có thẩm quyền quy định tại khoản 5 Điều này quyết định.</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Một khoản nợ gốc chỉ được xóa một (01) lần.</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7. Thực hiện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Thực hiện theo quy định tại điểm b khoản 11 Điều 10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36" w:name="muc_2"/>
      <w:r w:rsidRPr="00333086">
        <w:rPr>
          <w:rFonts w:ascii="Arial" w:eastAsia="Times New Roman" w:hAnsi="Arial" w:cs="Arial"/>
          <w:b/>
          <w:bCs/>
          <w:color w:val="000000"/>
          <w:sz w:val="21"/>
          <w:szCs w:val="21"/>
        </w:rPr>
        <w:t>Mục II. NGUỒN XỬ LÝ RỦI RO</w:t>
      </w:r>
      <w:bookmarkEnd w:id="36"/>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37" w:name="dieu_14"/>
      <w:r w:rsidRPr="00333086">
        <w:rPr>
          <w:rFonts w:ascii="Arial" w:eastAsia="Times New Roman" w:hAnsi="Arial" w:cs="Arial"/>
          <w:b/>
          <w:bCs/>
          <w:color w:val="000000"/>
          <w:sz w:val="21"/>
          <w:szCs w:val="21"/>
        </w:rPr>
        <w:t>Điều 14. Nguồn xử lý rủi ro</w:t>
      </w:r>
      <w:bookmarkEnd w:id="37"/>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Nguồn thu hồi từ bán nợ và xử lý tài sản bảo đảm.</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Nguồn từ dự phòng rủi ro và quỹ dự phòng tài chính</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a) Quỹ sử dụng dự phòng rủi ro và quỹ dự phòng tài chính theo quy định tại </w:t>
      </w:r>
      <w:bookmarkStart w:id="38" w:name="dc_17"/>
      <w:r w:rsidRPr="00333086">
        <w:rPr>
          <w:rFonts w:ascii="Arial" w:eastAsia="Times New Roman" w:hAnsi="Arial" w:cs="Arial"/>
          <w:color w:val="000000"/>
          <w:sz w:val="21"/>
          <w:szCs w:val="21"/>
        </w:rPr>
        <w:t>khoản 1 Điều 42 và khoản 3 Điều 51 Nghị định số 39/2019/NĐ-CP</w:t>
      </w:r>
      <w:bookmarkEnd w:id="38"/>
      <w:r w:rsidRPr="00333086">
        <w:rPr>
          <w:rFonts w:ascii="Arial" w:eastAsia="Times New Roman" w:hAnsi="Arial" w:cs="Arial"/>
          <w:color w:val="333333"/>
          <w:sz w:val="21"/>
          <w:szCs w:val="21"/>
        </w:rPr>
        <w:t> để thực hiện các biện pháp xử lý rủi ro: bán nợ (trong trường hợp giá bán thấp hơn giá trị nợ gốc ghi trong sổ sách); xử lý tài sản bảo đảm (trong trường hợp số tiền thu về từ việc xử lý tài sản bảo đảm thấp hơn giá trị sổ sách của khoản nợ); xóa nợ gốc.</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b) Trường hợp sau khi sử dụng hết dự phòng rủi ro và quỹ dự phòng tài chính, nhưng không đủ bù đắp rủi ro, Quỹ báo cáo Bộ Kế hoạch và Đầu tư chủ trì, phối hợp Bộ Tài chính trình Thủ tướng Chính phủ xem xét, quyết định.</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Nguồn để thực hiện các biện pháp xử lý rủi ro khác được thực hiện theo quy định của pháp luật.</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39" w:name="chuong_3"/>
      <w:r w:rsidRPr="00333086">
        <w:rPr>
          <w:rFonts w:ascii="Arial" w:eastAsia="Times New Roman" w:hAnsi="Arial" w:cs="Arial"/>
          <w:b/>
          <w:bCs/>
          <w:color w:val="000000"/>
          <w:sz w:val="21"/>
          <w:szCs w:val="21"/>
        </w:rPr>
        <w:t>Chương III</w:t>
      </w:r>
      <w:bookmarkEnd w:id="39"/>
    </w:p>
    <w:p w:rsidR="00333086" w:rsidRPr="00333086" w:rsidRDefault="00333086" w:rsidP="00333086">
      <w:pPr>
        <w:shd w:val="clear" w:color="auto" w:fill="FFFFFF"/>
        <w:spacing w:before="120" w:after="120" w:line="240" w:lineRule="auto"/>
        <w:jc w:val="center"/>
        <w:rPr>
          <w:rFonts w:ascii="Arial" w:eastAsia="Times New Roman" w:hAnsi="Arial" w:cs="Arial"/>
          <w:color w:val="333333"/>
          <w:sz w:val="21"/>
          <w:szCs w:val="21"/>
        </w:rPr>
      </w:pPr>
      <w:bookmarkStart w:id="40" w:name="chuong_3_name"/>
      <w:r w:rsidRPr="00333086">
        <w:rPr>
          <w:rFonts w:ascii="Arial" w:eastAsia="Times New Roman" w:hAnsi="Arial" w:cs="Arial"/>
          <w:b/>
          <w:bCs/>
          <w:color w:val="000000"/>
          <w:sz w:val="24"/>
          <w:szCs w:val="24"/>
        </w:rPr>
        <w:t>TỔ CHỨC THỰC HIỆN</w:t>
      </w:r>
      <w:bookmarkEnd w:id="40"/>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41" w:name="dieu_15"/>
      <w:r w:rsidRPr="00333086">
        <w:rPr>
          <w:rFonts w:ascii="Arial" w:eastAsia="Times New Roman" w:hAnsi="Arial" w:cs="Arial"/>
          <w:b/>
          <w:bCs/>
          <w:color w:val="000000"/>
          <w:sz w:val="21"/>
          <w:szCs w:val="21"/>
        </w:rPr>
        <w:t>Điều 15. Trách nhiệm của các tổ chức, cá nhân có liên quan</w:t>
      </w:r>
      <w:bookmarkEnd w:id="41"/>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Các tổ chức, đơn vị, cá nhân có liên quan chịu trách nhiệm thi hành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lastRenderedPageBreak/>
        <w:t>2. Các Bộ, cơ quan ngang Bộ, cơ quan thuộc Chính phủ, Ủy ban nhân dân các cấp trong phạm vi chức năng, nhiệm vụ, quyền hạn được giao chỉ đạo các cơ quan và doanh nghiệp trực thuộc, phối hợp với Quỹ trong công tác thu hồi và xử lý nợ.</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3. Quỹ Phát triển doanh nghiệp nhỏ và vừa có trách nhiệm ban hành quy định về thẩm quyền trong việc xem xét, quyết định các biện pháp xử lý rủi ro được quy định tại khoản 5 Điều 7, khoản 5 Điều 8, điểm a khoản 5 Điều 10 và điểm a khoản 5 Điều 11 Thông tư này.</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bookmarkStart w:id="42" w:name="dieu_16"/>
      <w:r w:rsidRPr="00333086">
        <w:rPr>
          <w:rFonts w:ascii="Arial" w:eastAsia="Times New Roman" w:hAnsi="Arial" w:cs="Arial"/>
          <w:b/>
          <w:bCs/>
          <w:color w:val="000000"/>
          <w:sz w:val="21"/>
          <w:szCs w:val="21"/>
        </w:rPr>
        <w:t>Điều 16. Điều khoản thi hành</w:t>
      </w:r>
      <w:bookmarkEnd w:id="42"/>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1. Thông tư này có hiệu lực kể từ ngày 25 tháng 02 năm 2021</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2. Trong quá trình thực hiện, nếu có vướng mắc, đề nghị các tổ chức, cá nhân có liên quan phản ánh kịp thời về Bộ Kế hoạch và Đầu tư để nghiên cứu, sửa đổi, bổ sung./.</w:t>
      </w:r>
    </w:p>
    <w:p w:rsidR="00333086" w:rsidRPr="00333086" w:rsidRDefault="00333086" w:rsidP="00333086">
      <w:pPr>
        <w:shd w:val="clear" w:color="auto" w:fill="FFFFFF"/>
        <w:spacing w:before="120" w:after="120" w:line="240" w:lineRule="auto"/>
        <w:rPr>
          <w:rFonts w:ascii="Arial" w:eastAsia="Times New Roman" w:hAnsi="Arial" w:cs="Arial"/>
          <w:color w:val="333333"/>
          <w:sz w:val="21"/>
          <w:szCs w:val="21"/>
        </w:rPr>
      </w:pPr>
      <w:r w:rsidRPr="00333086">
        <w:rPr>
          <w:rFonts w:ascii="Arial" w:eastAsia="Times New Roman" w:hAnsi="Arial" w:cs="Arial"/>
          <w:color w:val="333333"/>
          <w:sz w:val="21"/>
          <w:szCs w:val="21"/>
        </w:rPr>
        <w:t> </w:t>
      </w:r>
    </w:p>
    <w:tbl>
      <w:tblPr>
        <w:tblW w:w="0" w:type="auto"/>
        <w:shd w:val="clear" w:color="auto" w:fill="FFFFFF"/>
        <w:tblCellMar>
          <w:left w:w="0" w:type="dxa"/>
          <w:right w:w="0" w:type="dxa"/>
        </w:tblCellMar>
        <w:tblLook w:val="04A0" w:firstRow="1" w:lastRow="0" w:firstColumn="1" w:lastColumn="0" w:noHBand="0" w:noVBand="1"/>
      </w:tblPr>
      <w:tblGrid>
        <w:gridCol w:w="4708"/>
        <w:gridCol w:w="4148"/>
      </w:tblGrid>
      <w:tr w:rsidR="00333086" w:rsidRPr="00333086" w:rsidTr="00333086">
        <w:tc>
          <w:tcPr>
            <w:tcW w:w="4708" w:type="dxa"/>
            <w:shd w:val="clear" w:color="auto" w:fill="FFFFFF"/>
            <w:tcMar>
              <w:top w:w="0" w:type="dxa"/>
              <w:left w:w="108" w:type="dxa"/>
              <w:bottom w:w="0" w:type="dxa"/>
              <w:right w:w="108" w:type="dxa"/>
            </w:tcMar>
            <w:hideMark/>
          </w:tcPr>
          <w:p w:rsidR="00333086" w:rsidRPr="00333086" w:rsidRDefault="00333086" w:rsidP="00333086">
            <w:pPr>
              <w:spacing w:before="120" w:after="120" w:line="240" w:lineRule="auto"/>
              <w:rPr>
                <w:rFonts w:ascii="Arial" w:eastAsia="Times New Roman" w:hAnsi="Arial" w:cs="Arial"/>
                <w:color w:val="333333"/>
                <w:sz w:val="21"/>
                <w:szCs w:val="21"/>
              </w:rPr>
            </w:pPr>
            <w:r w:rsidRPr="00333086">
              <w:rPr>
                <w:rFonts w:ascii="Arial" w:eastAsia="Times New Roman" w:hAnsi="Arial" w:cs="Arial"/>
                <w:b/>
                <w:bCs/>
                <w:i/>
                <w:iCs/>
                <w:color w:val="333333"/>
                <w:sz w:val="21"/>
                <w:szCs w:val="21"/>
              </w:rPr>
              <w:t>Nơi nhận:</w:t>
            </w:r>
            <w:r w:rsidRPr="00333086">
              <w:rPr>
                <w:rFonts w:ascii="Arial" w:eastAsia="Times New Roman" w:hAnsi="Arial" w:cs="Arial"/>
                <w:b/>
                <w:bCs/>
                <w:i/>
                <w:iCs/>
                <w:color w:val="333333"/>
                <w:sz w:val="21"/>
                <w:szCs w:val="21"/>
              </w:rPr>
              <w:br/>
            </w:r>
            <w:r w:rsidRPr="00333086">
              <w:rPr>
                <w:rFonts w:ascii="Arial" w:eastAsia="Times New Roman" w:hAnsi="Arial" w:cs="Arial"/>
                <w:color w:val="333333"/>
                <w:sz w:val="16"/>
                <w:szCs w:val="16"/>
              </w:rPr>
              <w:t>- Thủ tướng, các Phó Thủ tướng Chính phủ (để b/c);</w:t>
            </w:r>
            <w:r w:rsidRPr="00333086">
              <w:rPr>
                <w:rFonts w:ascii="Arial" w:eastAsia="Times New Roman" w:hAnsi="Arial" w:cs="Arial"/>
                <w:color w:val="333333"/>
                <w:sz w:val="16"/>
                <w:szCs w:val="16"/>
              </w:rPr>
              <w:br/>
              <w:t>- Văn phòng TW Đảng và các Ban của Đảng;</w:t>
            </w:r>
            <w:r w:rsidRPr="00333086">
              <w:rPr>
                <w:rFonts w:ascii="Arial" w:eastAsia="Times New Roman" w:hAnsi="Arial" w:cs="Arial"/>
                <w:color w:val="333333"/>
                <w:sz w:val="16"/>
                <w:szCs w:val="16"/>
              </w:rPr>
              <w:br/>
              <w:t>- Văn phòng Quốc hội;</w:t>
            </w:r>
            <w:r w:rsidRPr="00333086">
              <w:rPr>
                <w:rFonts w:ascii="Arial" w:eastAsia="Times New Roman" w:hAnsi="Arial" w:cs="Arial"/>
                <w:color w:val="333333"/>
                <w:sz w:val="16"/>
                <w:szCs w:val="16"/>
              </w:rPr>
              <w:br/>
              <w:t>- Văn phòng Chính phủ;</w:t>
            </w:r>
            <w:r w:rsidRPr="00333086">
              <w:rPr>
                <w:rFonts w:ascii="Arial" w:eastAsia="Times New Roman" w:hAnsi="Arial" w:cs="Arial"/>
                <w:color w:val="333333"/>
                <w:sz w:val="16"/>
                <w:szCs w:val="16"/>
              </w:rPr>
              <w:br/>
              <w:t>- Văn phòng Chủ tịch nước;</w:t>
            </w:r>
            <w:r w:rsidRPr="00333086">
              <w:rPr>
                <w:rFonts w:ascii="Arial" w:eastAsia="Times New Roman" w:hAnsi="Arial" w:cs="Arial"/>
                <w:color w:val="333333"/>
                <w:sz w:val="16"/>
                <w:szCs w:val="16"/>
              </w:rPr>
              <w:br/>
              <w:t>- Các Bộ, cơ quan ngang Bộ, cơ quan thuộc Chính phủ;</w:t>
            </w:r>
            <w:r w:rsidRPr="00333086">
              <w:rPr>
                <w:rFonts w:ascii="Arial" w:eastAsia="Times New Roman" w:hAnsi="Arial" w:cs="Arial"/>
                <w:color w:val="333333"/>
                <w:sz w:val="16"/>
                <w:szCs w:val="16"/>
              </w:rPr>
              <w:br/>
              <w:t>- UBND các tỉnh, thành phố trực thuộc TW;</w:t>
            </w:r>
            <w:r w:rsidRPr="00333086">
              <w:rPr>
                <w:rFonts w:ascii="Arial" w:eastAsia="Times New Roman" w:hAnsi="Arial" w:cs="Arial"/>
                <w:color w:val="333333"/>
                <w:sz w:val="16"/>
                <w:szCs w:val="16"/>
              </w:rPr>
              <w:br/>
              <w:t>- Cơ quan TW của các đoàn thể;</w:t>
            </w:r>
            <w:r w:rsidRPr="00333086">
              <w:rPr>
                <w:rFonts w:ascii="Arial" w:eastAsia="Times New Roman" w:hAnsi="Arial" w:cs="Arial"/>
                <w:color w:val="333333"/>
                <w:sz w:val="16"/>
                <w:szCs w:val="16"/>
              </w:rPr>
              <w:br/>
              <w:t>- Viện Kiểm sát nhân dân tối cao;</w:t>
            </w:r>
            <w:r w:rsidRPr="00333086">
              <w:rPr>
                <w:rFonts w:ascii="Arial" w:eastAsia="Times New Roman" w:hAnsi="Arial" w:cs="Arial"/>
                <w:color w:val="333333"/>
                <w:sz w:val="16"/>
                <w:szCs w:val="16"/>
              </w:rPr>
              <w:br/>
              <w:t>- Tòa án nhân dân tối cao;</w:t>
            </w:r>
            <w:r w:rsidRPr="00333086">
              <w:rPr>
                <w:rFonts w:ascii="Arial" w:eastAsia="Times New Roman" w:hAnsi="Arial" w:cs="Arial"/>
                <w:color w:val="333333"/>
                <w:sz w:val="16"/>
                <w:szCs w:val="16"/>
              </w:rPr>
              <w:br/>
              <w:t>- Kiểm toán Nhà nước;</w:t>
            </w:r>
            <w:r w:rsidRPr="00333086">
              <w:rPr>
                <w:rFonts w:ascii="Arial" w:eastAsia="Times New Roman" w:hAnsi="Arial" w:cs="Arial"/>
                <w:color w:val="333333"/>
                <w:sz w:val="16"/>
                <w:szCs w:val="16"/>
              </w:rPr>
              <w:br/>
              <w:t>- Sở KHĐT các tỉnh, thành phố trực thuộc TW;</w:t>
            </w:r>
            <w:r w:rsidRPr="00333086">
              <w:rPr>
                <w:rFonts w:ascii="Arial" w:eastAsia="Times New Roman" w:hAnsi="Arial" w:cs="Arial"/>
                <w:color w:val="333333"/>
                <w:sz w:val="16"/>
                <w:szCs w:val="16"/>
              </w:rPr>
              <w:br/>
              <w:t>- Cục Kiểm tra văn bản QPPL (Bộ Tư pháp);</w:t>
            </w:r>
            <w:r w:rsidRPr="00333086">
              <w:rPr>
                <w:rFonts w:ascii="Arial" w:eastAsia="Times New Roman" w:hAnsi="Arial" w:cs="Arial"/>
                <w:color w:val="333333"/>
                <w:sz w:val="16"/>
                <w:szCs w:val="16"/>
              </w:rPr>
              <w:br/>
              <w:t>- Công báo; Cổng TTĐT của Chính phủ;</w:t>
            </w:r>
            <w:r w:rsidRPr="00333086">
              <w:rPr>
                <w:rFonts w:ascii="Arial" w:eastAsia="Times New Roman" w:hAnsi="Arial" w:cs="Arial"/>
                <w:color w:val="333333"/>
                <w:sz w:val="16"/>
                <w:szCs w:val="16"/>
              </w:rPr>
              <w:br/>
              <w:t>- Bộ KHĐT: Bộ trưởng và các Thứ trưởng; các đơn vị trực thuộc Bộ, Cổng TTĐT của Bộ;</w:t>
            </w:r>
            <w:r w:rsidRPr="00333086">
              <w:rPr>
                <w:rFonts w:ascii="Arial" w:eastAsia="Times New Roman" w:hAnsi="Arial" w:cs="Arial"/>
                <w:color w:val="333333"/>
                <w:sz w:val="16"/>
                <w:szCs w:val="16"/>
              </w:rPr>
              <w:br/>
              <w:t>- Lưu: VT, QDNNVV (5).</w:t>
            </w:r>
          </w:p>
        </w:tc>
        <w:tc>
          <w:tcPr>
            <w:tcW w:w="4148" w:type="dxa"/>
            <w:shd w:val="clear" w:color="auto" w:fill="FFFFFF"/>
            <w:tcMar>
              <w:top w:w="0" w:type="dxa"/>
              <w:left w:w="108" w:type="dxa"/>
              <w:bottom w:w="0" w:type="dxa"/>
              <w:right w:w="108" w:type="dxa"/>
            </w:tcMar>
            <w:hideMark/>
          </w:tcPr>
          <w:p w:rsidR="00333086" w:rsidRDefault="00333086" w:rsidP="00333086">
            <w:pPr>
              <w:spacing w:before="120" w:after="120" w:line="240" w:lineRule="auto"/>
              <w:jc w:val="center"/>
              <w:rPr>
                <w:rFonts w:ascii="Arial" w:eastAsia="Times New Roman" w:hAnsi="Arial" w:cs="Arial"/>
                <w:b/>
                <w:bCs/>
                <w:color w:val="333333"/>
                <w:sz w:val="21"/>
                <w:szCs w:val="21"/>
              </w:rPr>
            </w:pPr>
            <w:r>
              <w:rPr>
                <w:rFonts w:ascii="Arial" w:eastAsia="Times New Roman" w:hAnsi="Arial" w:cs="Arial"/>
                <w:b/>
                <w:bCs/>
                <w:color w:val="333333"/>
                <w:sz w:val="21"/>
                <w:szCs w:val="21"/>
              </w:rPr>
              <w:t>BỘ TRƯỞNG</w:t>
            </w:r>
            <w:r w:rsidRPr="00333086">
              <w:rPr>
                <w:rFonts w:ascii="Arial" w:eastAsia="Times New Roman" w:hAnsi="Arial" w:cs="Arial"/>
                <w:b/>
                <w:bCs/>
                <w:color w:val="333333"/>
                <w:sz w:val="21"/>
                <w:szCs w:val="21"/>
              </w:rPr>
              <w:br/>
            </w:r>
          </w:p>
          <w:p w:rsidR="00333086" w:rsidRPr="00333086" w:rsidRDefault="00333086" w:rsidP="00333086">
            <w:pPr>
              <w:spacing w:before="120" w:after="120" w:line="240" w:lineRule="auto"/>
              <w:jc w:val="center"/>
              <w:rPr>
                <w:rFonts w:ascii="Arial" w:eastAsia="Times New Roman" w:hAnsi="Arial" w:cs="Arial"/>
                <w:color w:val="333333"/>
                <w:sz w:val="21"/>
                <w:szCs w:val="21"/>
              </w:rPr>
            </w:pPr>
            <w:r w:rsidRPr="00333086">
              <w:rPr>
                <w:rFonts w:ascii="Arial" w:eastAsia="Times New Roman" w:hAnsi="Arial" w:cs="Arial"/>
                <w:b/>
                <w:bCs/>
                <w:i/>
                <w:color w:val="333333"/>
                <w:sz w:val="21"/>
                <w:szCs w:val="21"/>
              </w:rPr>
              <w:t>(Đã ký)</w:t>
            </w:r>
            <w:r w:rsidRPr="00333086">
              <w:rPr>
                <w:rFonts w:ascii="Arial" w:eastAsia="Times New Roman" w:hAnsi="Arial" w:cs="Arial"/>
                <w:b/>
                <w:bCs/>
                <w:i/>
                <w:color w:val="333333"/>
                <w:sz w:val="21"/>
                <w:szCs w:val="21"/>
              </w:rPr>
              <w:br/>
            </w:r>
            <w:r w:rsidRPr="00333086">
              <w:rPr>
                <w:rFonts w:ascii="Arial" w:eastAsia="Times New Roman" w:hAnsi="Arial" w:cs="Arial"/>
                <w:b/>
                <w:bCs/>
                <w:color w:val="333333"/>
                <w:sz w:val="21"/>
                <w:szCs w:val="21"/>
              </w:rPr>
              <w:br/>
              <w:t>Nguyễ</w:t>
            </w:r>
            <w:r>
              <w:rPr>
                <w:rFonts w:ascii="Arial" w:eastAsia="Times New Roman" w:hAnsi="Arial" w:cs="Arial"/>
                <w:b/>
                <w:bCs/>
                <w:color w:val="333333"/>
                <w:sz w:val="21"/>
                <w:szCs w:val="21"/>
              </w:rPr>
              <w:t>n Chí Dũng</w:t>
            </w:r>
          </w:p>
        </w:tc>
      </w:tr>
    </w:tbl>
    <w:p w:rsidR="00456488" w:rsidRDefault="00456488">
      <w:bookmarkStart w:id="43" w:name="_GoBack"/>
      <w:bookmarkEnd w:id="43"/>
    </w:p>
    <w:sectPr w:rsidR="00456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086"/>
    <w:rsid w:val="00333086"/>
    <w:rsid w:val="00456488"/>
    <w:rsid w:val="007B17F1"/>
    <w:rsid w:val="00824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6B4BC-0CA4-4AEF-A1F9-B82F82F2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30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n3">
    <w:name w:val="vn_3"/>
    <w:basedOn w:val="Normal"/>
    <w:rsid w:val="003330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4">
    <w:name w:val="vn_4"/>
    <w:basedOn w:val="DefaultParagraphFont"/>
    <w:rsid w:val="00333086"/>
  </w:style>
  <w:style w:type="character" w:styleId="Hyperlink">
    <w:name w:val="Hyperlink"/>
    <w:basedOn w:val="DefaultParagraphFont"/>
    <w:uiPriority w:val="99"/>
    <w:semiHidden/>
    <w:unhideWhenUsed/>
    <w:rsid w:val="00333086"/>
    <w:rPr>
      <w:color w:val="0000FF"/>
      <w:u w:val="single"/>
    </w:rPr>
  </w:style>
  <w:style w:type="character" w:customStyle="1" w:styleId="vn6">
    <w:name w:val="vn_6"/>
    <w:basedOn w:val="DefaultParagraphFont"/>
    <w:rsid w:val="00333086"/>
  </w:style>
  <w:style w:type="paragraph" w:styleId="BalloonText">
    <w:name w:val="Balloon Text"/>
    <w:basedOn w:val="Normal"/>
    <w:link w:val="BalloonTextChar"/>
    <w:uiPriority w:val="99"/>
    <w:semiHidden/>
    <w:unhideWhenUsed/>
    <w:rsid w:val="007B1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dinh-39-2019-nd-cp-hoat-dong-cua-quy-phat-trien-doanh-nghiep-nho-va-vua-4f6d8.html"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thukyluat.vn/vb/nghi-dinh-39-2019-nd-cp-hoat-dong-cua-quy-phat-trien-doanh-nghiep-nho-va-vua-4f6d8.html"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kyluat.vn/vb/nghi-dinh-39-2019-nd-cp-hoat-dong-cua-quy-phat-trien-doanh-nghiep-nho-va-vua-4f6d8.html" TargetMode="External"/><Relationship Id="rId11" Type="http://schemas.openxmlformats.org/officeDocument/2006/relationships/customXml" Target="../customXml/item1.xml"/><Relationship Id="rId5" Type="http://schemas.openxmlformats.org/officeDocument/2006/relationships/hyperlink" Target="https://thukyluat.vn/vb/nghi-dinh-39-2019-nd-cp-hoat-dong-cua-quy-phat-trien-doanh-nghiep-nho-va-vua-4f6d8.html" TargetMode="External"/><Relationship Id="rId10" Type="http://schemas.openxmlformats.org/officeDocument/2006/relationships/theme" Target="theme/theme1.xml"/><Relationship Id="rId4" Type="http://schemas.openxmlformats.org/officeDocument/2006/relationships/hyperlink" Target="https://thukyluat.vn/vb/nghi-dinh-86-2017-nd-cp-quy-dinh-chuc-nang-nhiem-vu-quyen-han-co-cau-to-chuc-bo-ke-hoach-dau-tu-57122.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331AB-99DC-42D4-B1C3-D441534E3BE3}"/>
</file>

<file path=customXml/itemProps2.xml><?xml version="1.0" encoding="utf-8"?>
<ds:datastoreItem xmlns:ds="http://schemas.openxmlformats.org/officeDocument/2006/customXml" ds:itemID="{A198026C-DDCE-4F45-A25F-AE1067F46B4F}"/>
</file>

<file path=customXml/itemProps3.xml><?xml version="1.0" encoding="utf-8"?>
<ds:datastoreItem xmlns:ds="http://schemas.openxmlformats.org/officeDocument/2006/customXml" ds:itemID="{2CB7DC29-0E11-4E14-A44E-322BC04515D9}"/>
</file>

<file path=docProps/app.xml><?xml version="1.0" encoding="utf-8"?>
<Properties xmlns="http://schemas.openxmlformats.org/officeDocument/2006/extended-properties" xmlns:vt="http://schemas.openxmlformats.org/officeDocument/2006/docPropsVTypes">
  <Template>Normal</Template>
  <TotalTime>20</TotalTime>
  <Pages>1</Pages>
  <Words>4406</Words>
  <Characters>25120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29468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cp:lastPrinted>2021-03-09T02:26:00Z</cp:lastPrinted>
  <dcterms:created xsi:type="dcterms:W3CDTF">2021-03-05T02:30:00Z</dcterms:created>
  <dcterms:modified xsi:type="dcterms:W3CDTF">2021-03-09T02:29:00Z</dcterms:modified>
</cp:coreProperties>
</file>