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67"/>
        <w:gridCol w:w="5459"/>
      </w:tblGrid>
      <w:tr w:rsidR="004A6F79" w:rsidRPr="00CD200A" w14:paraId="5B1B3573" w14:textId="77777777" w:rsidTr="004A6F79">
        <w:tc>
          <w:tcPr>
            <w:tcW w:w="1976" w:type="pct"/>
          </w:tcPr>
          <w:p w14:paraId="67F3D21F" w14:textId="08E25A45" w:rsidR="004A6F79" w:rsidRPr="00CD200A" w:rsidRDefault="004A6F79" w:rsidP="00671D06">
            <w:pPr>
              <w:adjustRightInd w:val="0"/>
              <w:snapToGrid w:val="0"/>
              <w:jc w:val="center"/>
              <w:rPr>
                <w:rFonts w:ascii="Arial" w:hAnsi="Arial" w:cs="Arial"/>
                <w:bCs/>
                <w:color w:val="000000" w:themeColor="text1"/>
                <w:sz w:val="20"/>
                <w:szCs w:val="20"/>
              </w:rPr>
            </w:pPr>
            <w:r w:rsidRPr="00CD200A">
              <w:rPr>
                <w:rFonts w:ascii="Arial" w:hAnsi="Arial" w:cs="Arial"/>
                <w:b/>
                <w:color w:val="000000" w:themeColor="text1"/>
                <w:sz w:val="20"/>
                <w:szCs w:val="20"/>
              </w:rPr>
              <w:t>BỘ TÀI CHÍNH</w:t>
            </w:r>
            <w:r w:rsidRPr="00CD200A">
              <w:rPr>
                <w:rFonts w:ascii="Arial" w:hAnsi="Arial" w:cs="Arial"/>
                <w:bCs/>
                <w:color w:val="000000" w:themeColor="text1"/>
                <w:sz w:val="20"/>
                <w:szCs w:val="20"/>
              </w:rPr>
              <w:br/>
            </w:r>
            <w:r w:rsidRPr="00CD200A">
              <w:rPr>
                <w:rFonts w:ascii="Arial" w:hAnsi="Arial" w:cs="Arial"/>
                <w:bCs/>
                <w:color w:val="000000" w:themeColor="text1"/>
                <w:sz w:val="20"/>
                <w:szCs w:val="20"/>
                <w:vertAlign w:val="superscript"/>
              </w:rPr>
              <w:t>________</w:t>
            </w:r>
            <w:r w:rsidRPr="00CD200A">
              <w:rPr>
                <w:rFonts w:ascii="Arial" w:hAnsi="Arial" w:cs="Arial"/>
                <w:bCs/>
                <w:color w:val="000000" w:themeColor="text1"/>
                <w:sz w:val="20"/>
                <w:szCs w:val="20"/>
                <w:vertAlign w:val="superscript"/>
              </w:rPr>
              <w:br/>
            </w:r>
            <w:r w:rsidRPr="00CD200A">
              <w:rPr>
                <w:rFonts w:ascii="Arial" w:hAnsi="Arial" w:cs="Arial"/>
                <w:color w:val="000000" w:themeColor="text1"/>
                <w:sz w:val="20"/>
                <w:szCs w:val="20"/>
              </w:rPr>
              <w:br/>
              <w:t>Số: 135/2026/TT-BTC</w:t>
            </w:r>
          </w:p>
        </w:tc>
        <w:tc>
          <w:tcPr>
            <w:tcW w:w="3024" w:type="pct"/>
          </w:tcPr>
          <w:p w14:paraId="0FD0DF82" w14:textId="15476EB3" w:rsidR="004A6F79" w:rsidRPr="00CD200A" w:rsidRDefault="004A6F79" w:rsidP="00671D06">
            <w:pPr>
              <w:adjustRightInd w:val="0"/>
              <w:snapToGrid w:val="0"/>
              <w:jc w:val="center"/>
              <w:rPr>
                <w:rFonts w:ascii="Arial" w:hAnsi="Arial" w:cs="Arial"/>
                <w:color w:val="000000" w:themeColor="text1"/>
                <w:sz w:val="20"/>
                <w:szCs w:val="20"/>
              </w:rPr>
            </w:pPr>
            <w:r w:rsidRPr="00CD200A">
              <w:rPr>
                <w:rFonts w:ascii="Arial" w:hAnsi="Arial" w:cs="Arial"/>
                <w:b/>
                <w:color w:val="000000" w:themeColor="text1"/>
                <w:sz w:val="20"/>
                <w:szCs w:val="20"/>
              </w:rPr>
              <w:t>CỘNG HOÀ XÃ HỘI CHỦ NGHĨA VIỆT NAM</w:t>
            </w:r>
            <w:r w:rsidRPr="00CD200A">
              <w:rPr>
                <w:rFonts w:ascii="Arial" w:hAnsi="Arial" w:cs="Arial"/>
                <w:color w:val="000000" w:themeColor="text1"/>
                <w:sz w:val="20"/>
                <w:szCs w:val="20"/>
              </w:rPr>
              <w:br/>
            </w:r>
            <w:r w:rsidRPr="00CD200A">
              <w:rPr>
                <w:rFonts w:ascii="Arial" w:hAnsi="Arial" w:cs="Arial"/>
                <w:b/>
                <w:color w:val="000000" w:themeColor="text1"/>
                <w:sz w:val="20"/>
                <w:szCs w:val="20"/>
              </w:rPr>
              <w:t>Độc lập - Tự do - Hạnh phúc</w:t>
            </w:r>
            <w:r w:rsidRPr="00CD200A">
              <w:rPr>
                <w:rFonts w:ascii="Arial" w:hAnsi="Arial" w:cs="Arial"/>
                <w:b/>
                <w:color w:val="000000" w:themeColor="text1"/>
                <w:sz w:val="20"/>
                <w:szCs w:val="20"/>
              </w:rPr>
              <w:br/>
            </w:r>
            <w:r w:rsidRPr="00CD200A">
              <w:rPr>
                <w:rFonts w:ascii="Arial" w:hAnsi="Arial" w:cs="Arial"/>
                <w:bCs/>
                <w:color w:val="000000" w:themeColor="text1"/>
                <w:sz w:val="20"/>
                <w:szCs w:val="20"/>
                <w:vertAlign w:val="superscript"/>
              </w:rPr>
              <w:t>________________________</w:t>
            </w:r>
            <w:r w:rsidRPr="00CD200A">
              <w:rPr>
                <w:rFonts w:ascii="Arial" w:hAnsi="Arial" w:cs="Arial"/>
                <w:bCs/>
                <w:color w:val="000000" w:themeColor="text1"/>
                <w:sz w:val="20"/>
                <w:szCs w:val="20"/>
                <w:vertAlign w:val="superscript"/>
              </w:rPr>
              <w:br/>
            </w:r>
            <w:r w:rsidRPr="00CD200A">
              <w:rPr>
                <w:rFonts w:ascii="Arial" w:hAnsi="Arial" w:cs="Arial"/>
                <w:i/>
                <w:color w:val="000000" w:themeColor="text1"/>
                <w:sz w:val="20"/>
                <w:szCs w:val="20"/>
              </w:rPr>
              <w:t>Hà Nội, ngày</w:t>
            </w:r>
            <w:r w:rsidR="00D32EDB">
              <w:rPr>
                <w:rFonts w:ascii="Arial" w:hAnsi="Arial" w:cs="Arial"/>
                <w:i/>
                <w:color w:val="000000" w:themeColor="text1"/>
                <w:sz w:val="20"/>
                <w:szCs w:val="20"/>
              </w:rPr>
              <w:t xml:space="preserve"> </w:t>
            </w:r>
            <w:r w:rsidRPr="00CD200A">
              <w:rPr>
                <w:rFonts w:ascii="Arial" w:hAnsi="Arial" w:cs="Arial"/>
                <w:i/>
                <w:color w:val="000000" w:themeColor="text1"/>
                <w:sz w:val="20"/>
                <w:szCs w:val="20"/>
              </w:rPr>
              <w:t>09</w:t>
            </w:r>
            <w:r w:rsidR="00D32EDB">
              <w:rPr>
                <w:rFonts w:ascii="Arial" w:hAnsi="Arial" w:cs="Arial"/>
                <w:i/>
                <w:color w:val="000000" w:themeColor="text1"/>
                <w:sz w:val="20"/>
                <w:szCs w:val="20"/>
              </w:rPr>
              <w:t xml:space="preserve"> </w:t>
            </w:r>
            <w:r w:rsidRPr="00CD200A">
              <w:rPr>
                <w:rFonts w:ascii="Arial" w:hAnsi="Arial" w:cs="Arial"/>
                <w:i/>
                <w:color w:val="000000" w:themeColor="text1"/>
                <w:sz w:val="20"/>
                <w:szCs w:val="20"/>
              </w:rPr>
              <w:t>tháng 9</w:t>
            </w:r>
            <w:r w:rsidR="00D32EDB">
              <w:rPr>
                <w:rFonts w:ascii="Arial" w:hAnsi="Arial" w:cs="Arial"/>
                <w:i/>
                <w:color w:val="000000" w:themeColor="text1"/>
                <w:sz w:val="20"/>
                <w:szCs w:val="20"/>
              </w:rPr>
              <w:t xml:space="preserve"> </w:t>
            </w:r>
            <w:r w:rsidRPr="00CD200A">
              <w:rPr>
                <w:rFonts w:ascii="Arial" w:hAnsi="Arial" w:cs="Arial"/>
                <w:i/>
                <w:color w:val="000000" w:themeColor="text1"/>
                <w:sz w:val="20"/>
                <w:szCs w:val="20"/>
              </w:rPr>
              <w:t>năm 2026</w:t>
            </w:r>
          </w:p>
        </w:tc>
      </w:tr>
    </w:tbl>
    <w:p w14:paraId="7C913225" w14:textId="77777777" w:rsidR="004A6F79" w:rsidRPr="00CD200A" w:rsidRDefault="004A6F79" w:rsidP="004A6F79">
      <w:pPr>
        <w:adjustRightInd w:val="0"/>
        <w:snapToGrid w:val="0"/>
        <w:spacing w:after="0" w:line="240" w:lineRule="auto"/>
        <w:jc w:val="center"/>
        <w:rPr>
          <w:rFonts w:ascii="Arial" w:hAnsi="Arial" w:cs="Arial"/>
          <w:bCs/>
          <w:color w:val="000000" w:themeColor="text1"/>
          <w:sz w:val="20"/>
          <w:szCs w:val="20"/>
        </w:rPr>
      </w:pPr>
    </w:p>
    <w:p w14:paraId="7E6E7845" w14:textId="77777777" w:rsidR="004A6F79" w:rsidRPr="00CD200A" w:rsidRDefault="004A6F79" w:rsidP="004A6F79">
      <w:pPr>
        <w:adjustRightInd w:val="0"/>
        <w:snapToGrid w:val="0"/>
        <w:spacing w:after="0" w:line="240" w:lineRule="auto"/>
        <w:jc w:val="center"/>
        <w:rPr>
          <w:rFonts w:ascii="Arial" w:hAnsi="Arial" w:cs="Arial"/>
          <w:b/>
          <w:color w:val="000000" w:themeColor="text1"/>
          <w:sz w:val="20"/>
          <w:szCs w:val="20"/>
        </w:rPr>
      </w:pPr>
    </w:p>
    <w:p w14:paraId="5D9340C8" w14:textId="693DAEF9" w:rsidR="00F40F63" w:rsidRPr="00CD200A" w:rsidRDefault="00000000" w:rsidP="004A6F79">
      <w:pPr>
        <w:adjustRightInd w:val="0"/>
        <w:snapToGrid w:val="0"/>
        <w:spacing w:after="0" w:line="240" w:lineRule="auto"/>
        <w:jc w:val="center"/>
        <w:rPr>
          <w:rFonts w:ascii="Arial" w:hAnsi="Arial" w:cs="Arial"/>
          <w:color w:val="000000" w:themeColor="text1"/>
          <w:sz w:val="20"/>
          <w:szCs w:val="20"/>
        </w:rPr>
      </w:pPr>
      <w:r w:rsidRPr="00CD200A">
        <w:rPr>
          <w:rFonts w:ascii="Arial" w:hAnsi="Arial" w:cs="Arial"/>
          <w:b/>
          <w:color w:val="000000" w:themeColor="text1"/>
          <w:sz w:val="20"/>
          <w:szCs w:val="20"/>
        </w:rPr>
        <w:t>THÔNG TƯ</w:t>
      </w:r>
    </w:p>
    <w:p w14:paraId="75290EF9" w14:textId="24A40DEB" w:rsidR="00F40F63" w:rsidRPr="00CD200A" w:rsidRDefault="00000000" w:rsidP="004A6F79">
      <w:pPr>
        <w:adjustRightInd w:val="0"/>
        <w:snapToGrid w:val="0"/>
        <w:spacing w:after="0" w:line="240" w:lineRule="auto"/>
        <w:jc w:val="center"/>
        <w:rPr>
          <w:rFonts w:ascii="Arial" w:hAnsi="Arial" w:cs="Arial"/>
          <w:b/>
          <w:color w:val="000000" w:themeColor="text1"/>
          <w:sz w:val="20"/>
          <w:szCs w:val="20"/>
        </w:rPr>
      </w:pPr>
      <w:r w:rsidRPr="00CD200A">
        <w:rPr>
          <w:rFonts w:ascii="Arial" w:hAnsi="Arial" w:cs="Arial"/>
          <w:b/>
          <w:color w:val="000000" w:themeColor="text1"/>
          <w:sz w:val="20"/>
          <w:szCs w:val="20"/>
        </w:rPr>
        <w:t xml:space="preserve">Sửa đổi, bổ sung một số điều của Thông tư số 152/2015/TT-BTC ngày 02 </w:t>
      </w:r>
      <w:r w:rsidR="004A6F79" w:rsidRPr="00CD200A">
        <w:rPr>
          <w:rFonts w:ascii="Arial" w:hAnsi="Arial" w:cs="Arial"/>
          <w:b/>
          <w:color w:val="000000" w:themeColor="text1"/>
          <w:sz w:val="20"/>
          <w:szCs w:val="20"/>
        </w:rPr>
        <w:br/>
      </w:r>
      <w:r w:rsidRPr="00CD200A">
        <w:rPr>
          <w:rFonts w:ascii="Arial" w:hAnsi="Arial" w:cs="Arial"/>
          <w:b/>
          <w:color w:val="000000" w:themeColor="text1"/>
          <w:sz w:val="20"/>
          <w:szCs w:val="20"/>
        </w:rPr>
        <w:t xml:space="preserve">tháng 10 năm 2015 của Bộ trưởng Bộ Tài chính hướng dẫn về thuế tài </w:t>
      </w:r>
      <w:r w:rsidR="004A6F79" w:rsidRPr="00CD200A">
        <w:rPr>
          <w:rFonts w:ascii="Arial" w:hAnsi="Arial" w:cs="Arial"/>
          <w:b/>
          <w:color w:val="000000" w:themeColor="text1"/>
          <w:sz w:val="20"/>
          <w:szCs w:val="20"/>
        </w:rPr>
        <w:br/>
      </w:r>
      <w:r w:rsidRPr="00CD200A">
        <w:rPr>
          <w:rFonts w:ascii="Arial" w:hAnsi="Arial" w:cs="Arial"/>
          <w:b/>
          <w:color w:val="000000" w:themeColor="text1"/>
          <w:sz w:val="20"/>
          <w:szCs w:val="20"/>
        </w:rPr>
        <w:t>nguyên được sửa đổi, bổ sung bởi Thông tư số 41/2024/TT-BTC</w:t>
      </w:r>
    </w:p>
    <w:p w14:paraId="741F4306" w14:textId="77777777" w:rsidR="004A6F79" w:rsidRPr="00CD200A" w:rsidRDefault="004A6F79" w:rsidP="004A6F79">
      <w:pPr>
        <w:adjustRightInd w:val="0"/>
        <w:snapToGrid w:val="0"/>
        <w:spacing w:after="0" w:line="240" w:lineRule="auto"/>
        <w:jc w:val="center"/>
        <w:rPr>
          <w:rFonts w:ascii="Arial" w:hAnsi="Arial" w:cs="Arial"/>
          <w:color w:val="000000" w:themeColor="text1"/>
          <w:sz w:val="20"/>
          <w:szCs w:val="20"/>
        </w:rPr>
      </w:pPr>
    </w:p>
    <w:p w14:paraId="433049E3" w14:textId="77777777" w:rsidR="00F40F63" w:rsidRPr="00CD200A" w:rsidRDefault="00000000" w:rsidP="004A6F79">
      <w:pPr>
        <w:adjustRightInd w:val="0"/>
        <w:snapToGrid w:val="0"/>
        <w:spacing w:after="120" w:line="240" w:lineRule="auto"/>
        <w:ind w:firstLine="720"/>
        <w:jc w:val="both"/>
        <w:rPr>
          <w:rFonts w:ascii="Arial" w:hAnsi="Arial" w:cs="Arial"/>
          <w:color w:val="000000" w:themeColor="text1"/>
          <w:sz w:val="20"/>
          <w:szCs w:val="20"/>
        </w:rPr>
      </w:pPr>
      <w:r w:rsidRPr="00CD200A">
        <w:rPr>
          <w:rFonts w:ascii="Arial" w:hAnsi="Arial" w:cs="Arial"/>
          <w:i/>
          <w:color w:val="000000" w:themeColor="text1"/>
          <w:sz w:val="20"/>
          <w:szCs w:val="20"/>
        </w:rPr>
        <w:t>Căn cứ Luật Thuế tài nguyên số 45/2009/QH12 được sửa đổi, bổ sung bởi Luật số 71/2014/QH13;</w:t>
      </w:r>
    </w:p>
    <w:p w14:paraId="2E8F64CE" w14:textId="77777777" w:rsidR="00F40F63" w:rsidRPr="00CD200A" w:rsidRDefault="00000000" w:rsidP="004A6F79">
      <w:pPr>
        <w:adjustRightInd w:val="0"/>
        <w:snapToGrid w:val="0"/>
        <w:spacing w:after="120" w:line="240" w:lineRule="auto"/>
        <w:ind w:firstLine="720"/>
        <w:jc w:val="both"/>
        <w:rPr>
          <w:rFonts w:ascii="Arial" w:hAnsi="Arial" w:cs="Arial"/>
          <w:color w:val="000000" w:themeColor="text1"/>
          <w:sz w:val="20"/>
          <w:szCs w:val="20"/>
        </w:rPr>
      </w:pPr>
      <w:r w:rsidRPr="00CD200A">
        <w:rPr>
          <w:rFonts w:ascii="Arial" w:hAnsi="Arial" w:cs="Arial"/>
          <w:i/>
          <w:color w:val="000000" w:themeColor="text1"/>
          <w:sz w:val="20"/>
          <w:szCs w:val="20"/>
        </w:rPr>
        <w:t>Căn cứ Nghị định số 50/2010/NĐ-CP của Chính phủ quy định chi tiết và hướng dẫn thi hành một số điều của Luật Thuế tài nguyên được sửa đổi, bổ sung bởi Nghị định số 12/2015/NĐ-CP;</w:t>
      </w:r>
    </w:p>
    <w:p w14:paraId="4E1AF66C" w14:textId="77777777" w:rsidR="00F40F63" w:rsidRPr="00CD200A" w:rsidRDefault="00000000" w:rsidP="004A6F79">
      <w:pPr>
        <w:adjustRightInd w:val="0"/>
        <w:snapToGrid w:val="0"/>
        <w:spacing w:after="120" w:line="240" w:lineRule="auto"/>
        <w:ind w:firstLine="720"/>
        <w:jc w:val="both"/>
        <w:rPr>
          <w:rFonts w:ascii="Arial" w:hAnsi="Arial" w:cs="Arial"/>
          <w:color w:val="000000" w:themeColor="text1"/>
          <w:sz w:val="20"/>
          <w:szCs w:val="20"/>
        </w:rPr>
      </w:pPr>
      <w:r w:rsidRPr="00CD200A">
        <w:rPr>
          <w:rFonts w:ascii="Arial" w:hAnsi="Arial" w:cs="Arial"/>
          <w:i/>
          <w:color w:val="000000" w:themeColor="text1"/>
          <w:sz w:val="20"/>
          <w:szCs w:val="20"/>
        </w:rPr>
        <w:t>Căn cứ Nghị định số 29/2025/NĐ-CP của Chính phủ quy định chức năng, nhiệm vụ, quyền hạn và cơ cấu tổ chức của Bộ Tài chính được sửa đổi, bổ sung bởi Nghị định số 166/2025/NĐ-CP;</w:t>
      </w:r>
    </w:p>
    <w:p w14:paraId="7B6C60ED" w14:textId="77777777" w:rsidR="00F40F63" w:rsidRPr="00CD200A" w:rsidRDefault="00000000" w:rsidP="004A6F79">
      <w:pPr>
        <w:adjustRightInd w:val="0"/>
        <w:snapToGrid w:val="0"/>
        <w:spacing w:after="120" w:line="240" w:lineRule="auto"/>
        <w:ind w:firstLine="720"/>
        <w:jc w:val="both"/>
        <w:rPr>
          <w:rFonts w:ascii="Arial" w:hAnsi="Arial" w:cs="Arial"/>
          <w:color w:val="000000" w:themeColor="text1"/>
          <w:sz w:val="20"/>
          <w:szCs w:val="20"/>
        </w:rPr>
      </w:pPr>
      <w:r w:rsidRPr="00CD200A">
        <w:rPr>
          <w:rFonts w:ascii="Arial" w:hAnsi="Arial" w:cs="Arial"/>
          <w:i/>
          <w:color w:val="000000" w:themeColor="text1"/>
          <w:sz w:val="20"/>
          <w:szCs w:val="20"/>
        </w:rPr>
        <w:t>Theo đề nghị của Cục trưởng Cục Quản lý, giám sát chính sách thuế, phí và lệ phí;</w:t>
      </w:r>
    </w:p>
    <w:p w14:paraId="07CF602F" w14:textId="77777777" w:rsidR="00F40F63" w:rsidRPr="00CD200A" w:rsidRDefault="00000000" w:rsidP="00756D05">
      <w:pPr>
        <w:adjustRightInd w:val="0"/>
        <w:snapToGrid w:val="0"/>
        <w:spacing w:after="0" w:line="240" w:lineRule="auto"/>
        <w:ind w:firstLine="720"/>
        <w:jc w:val="both"/>
        <w:rPr>
          <w:rFonts w:ascii="Arial" w:hAnsi="Arial" w:cs="Arial"/>
          <w:i/>
          <w:color w:val="000000" w:themeColor="text1"/>
          <w:sz w:val="20"/>
          <w:szCs w:val="20"/>
        </w:rPr>
      </w:pPr>
      <w:r w:rsidRPr="00CD200A">
        <w:rPr>
          <w:rFonts w:ascii="Arial" w:hAnsi="Arial" w:cs="Arial"/>
          <w:i/>
          <w:color w:val="000000" w:themeColor="text1"/>
          <w:sz w:val="20"/>
          <w:szCs w:val="20"/>
        </w:rPr>
        <w:t>Bộ trưởng Bộ Tài chính ban hành Thông tư sửa đổi, bổ sung một số điều của Thông tư số 152/2015/TT-BTC ngày 02 tháng 10 năm 2015 của Bộ trưởng Bộ Tài chính hướng dẫn về thuế tài nguyên được sửa đổi, bổ sung bởi Thông tư số 41/2024/TT-BTC.</w:t>
      </w:r>
    </w:p>
    <w:p w14:paraId="2F33FC6F" w14:textId="77777777" w:rsidR="004A6F79" w:rsidRPr="00CD200A" w:rsidRDefault="004A6F79" w:rsidP="00756D05">
      <w:pPr>
        <w:adjustRightInd w:val="0"/>
        <w:snapToGrid w:val="0"/>
        <w:spacing w:after="0" w:line="240" w:lineRule="auto"/>
        <w:ind w:firstLine="720"/>
        <w:jc w:val="both"/>
        <w:rPr>
          <w:rFonts w:ascii="Arial" w:hAnsi="Arial" w:cs="Arial"/>
          <w:color w:val="000000" w:themeColor="text1"/>
          <w:sz w:val="20"/>
          <w:szCs w:val="20"/>
        </w:rPr>
      </w:pPr>
    </w:p>
    <w:p w14:paraId="39A996C2" w14:textId="77777777" w:rsidR="00F40F63" w:rsidRPr="00CD200A" w:rsidRDefault="00000000" w:rsidP="004A6F79">
      <w:pPr>
        <w:spacing w:after="120" w:line="240" w:lineRule="auto"/>
        <w:jc w:val="both"/>
        <w:rPr>
          <w:rFonts w:ascii="Arial" w:hAnsi="Arial" w:cs="Arial"/>
          <w:color w:val="000000" w:themeColor="text1"/>
          <w:sz w:val="20"/>
          <w:szCs w:val="20"/>
        </w:rPr>
      </w:pPr>
      <w:r w:rsidRPr="00CD200A">
        <w:rPr>
          <w:rFonts w:ascii="Arial" w:hAnsi="Arial" w:cs="Arial"/>
          <w:b/>
          <w:color w:val="000000" w:themeColor="text1"/>
          <w:sz w:val="20"/>
          <w:szCs w:val="20"/>
        </w:rPr>
        <w:t>Điều 1. Sửa đổi, bổ sung một số điều của Thông tư số 152/2015/TT-BTC ngày 02 tháng 10 năm 2015 của Bộ trưởng Bộ Tài chính hướng dẫn về thuế tài nguyên được sửa đổi, bổ sung bởi Thông tư số 41/2024/TT-BTC</w:t>
      </w:r>
    </w:p>
    <w:p w14:paraId="3A096658" w14:textId="77777777" w:rsidR="00F40F63" w:rsidRPr="00CD200A" w:rsidRDefault="00000000" w:rsidP="004A6F79">
      <w:pPr>
        <w:spacing w:after="120" w:line="240" w:lineRule="auto"/>
        <w:jc w:val="both"/>
        <w:rPr>
          <w:rFonts w:ascii="Arial" w:hAnsi="Arial" w:cs="Arial"/>
          <w:color w:val="000000" w:themeColor="text1"/>
          <w:sz w:val="20"/>
          <w:szCs w:val="20"/>
        </w:rPr>
      </w:pPr>
      <w:r w:rsidRPr="00CD200A">
        <w:rPr>
          <w:rFonts w:ascii="Arial" w:hAnsi="Arial" w:cs="Arial"/>
          <w:color w:val="000000" w:themeColor="text1"/>
          <w:sz w:val="20"/>
          <w:szCs w:val="20"/>
        </w:rPr>
        <w:t>1. Sửa đổi, bổ sung điểm 5.3 khoản 5 Điều 6 Thông tư số 152/2015/TT-BTC được sửa đổi, bổ sung bởi khoản 2 Điều 2 của Thông tư số 41/2024-TT-BTC như sau:</w:t>
      </w:r>
    </w:p>
    <w:p w14:paraId="15A81DF4" w14:textId="77777777" w:rsidR="00F40F63" w:rsidRPr="00CD200A" w:rsidRDefault="00000000" w:rsidP="004A6F79">
      <w:pPr>
        <w:spacing w:after="120" w:line="240" w:lineRule="auto"/>
        <w:jc w:val="both"/>
        <w:rPr>
          <w:rFonts w:ascii="Arial" w:hAnsi="Arial" w:cs="Arial"/>
          <w:color w:val="000000" w:themeColor="text1"/>
          <w:sz w:val="20"/>
          <w:szCs w:val="20"/>
        </w:rPr>
      </w:pPr>
      <w:r w:rsidRPr="00CD200A">
        <w:rPr>
          <w:rFonts w:ascii="Arial" w:hAnsi="Arial" w:cs="Arial"/>
          <w:color w:val="000000" w:themeColor="text1"/>
          <w:sz w:val="20"/>
          <w:szCs w:val="20"/>
        </w:rPr>
        <w:t>“5.3. Trường hợp điều chỉnh, sửa đổi, bổ sung Bảng giá tính thuế tài nguyên, Sở Tài chính chủ trì phối hợp với các cơ quan liên quan tổ chức việc xây dựng, điều chỉnh, sửa đổi, bổ sung Bảng giá tính thuế tài nguyên và trình Ủy ban nhân dân cấp tỉnh ban hành Bảng giá tính thuế tài nguyên.”</w:t>
      </w:r>
    </w:p>
    <w:p w14:paraId="6D91E744" w14:textId="786800D1" w:rsidR="00F40F63" w:rsidRPr="00CD200A" w:rsidRDefault="00000000" w:rsidP="004A6F79">
      <w:pPr>
        <w:spacing w:after="120" w:line="240" w:lineRule="auto"/>
        <w:jc w:val="both"/>
        <w:rPr>
          <w:rFonts w:ascii="Arial" w:hAnsi="Arial" w:cs="Arial"/>
          <w:color w:val="000000" w:themeColor="text1"/>
          <w:sz w:val="20"/>
          <w:szCs w:val="20"/>
        </w:rPr>
      </w:pPr>
      <w:r w:rsidRPr="00CD200A">
        <w:rPr>
          <w:rFonts w:ascii="Arial" w:hAnsi="Arial" w:cs="Arial"/>
          <w:color w:val="000000" w:themeColor="text1"/>
          <w:sz w:val="20"/>
          <w:szCs w:val="20"/>
        </w:rPr>
        <w:t>2. Sửa đổi, bổ sung điểm 5.4 khoản 5 Điều 6 Thông tư số 152/2015/TT-BTC như sau:</w:t>
      </w:r>
    </w:p>
    <w:p w14:paraId="1161FC70" w14:textId="77777777" w:rsidR="00F40F63" w:rsidRPr="00CD200A" w:rsidRDefault="00000000" w:rsidP="004A6F79">
      <w:pPr>
        <w:spacing w:after="120" w:line="240" w:lineRule="auto"/>
        <w:jc w:val="both"/>
        <w:rPr>
          <w:rFonts w:ascii="Arial" w:hAnsi="Arial" w:cs="Arial"/>
          <w:color w:val="000000" w:themeColor="text1"/>
          <w:sz w:val="20"/>
          <w:szCs w:val="20"/>
        </w:rPr>
      </w:pPr>
      <w:r w:rsidRPr="00CD200A">
        <w:rPr>
          <w:rFonts w:ascii="Arial" w:hAnsi="Arial" w:cs="Arial"/>
          <w:color w:val="000000" w:themeColor="text1"/>
          <w:sz w:val="20"/>
          <w:szCs w:val="20"/>
        </w:rPr>
        <w:t>“5.4. Sau khi Bảng giá tính thuế tài nguyên được ban hành, Bộ Tài chính (Cục Thuế) cập nhật cơ sở dữ liệu giá tính thuế tài nguyên. Cơ quan thuế địa phương công khai Bảng giá tính thuế tài nguyên trên Cổng thông tin điện tử của cơ quan mình.”</w:t>
      </w:r>
    </w:p>
    <w:p w14:paraId="771E1B58" w14:textId="77777777" w:rsidR="00F40F63" w:rsidRPr="00CD200A" w:rsidRDefault="00000000" w:rsidP="004A6F79">
      <w:pPr>
        <w:spacing w:after="120" w:line="240" w:lineRule="auto"/>
        <w:jc w:val="both"/>
        <w:rPr>
          <w:rFonts w:ascii="Arial" w:hAnsi="Arial" w:cs="Arial"/>
          <w:color w:val="000000" w:themeColor="text1"/>
          <w:sz w:val="20"/>
          <w:szCs w:val="20"/>
        </w:rPr>
      </w:pPr>
      <w:r w:rsidRPr="00CD200A">
        <w:rPr>
          <w:rFonts w:ascii="Arial" w:hAnsi="Arial" w:cs="Arial"/>
          <w:color w:val="000000" w:themeColor="text1"/>
          <w:sz w:val="20"/>
          <w:szCs w:val="20"/>
        </w:rPr>
        <w:t>3. Sửa đổi, bổ sung điểm a khoản 3 Điều 9 Thông tư số 152/2015/TT-BTC như sau:</w:t>
      </w:r>
    </w:p>
    <w:p w14:paraId="590BE3D2" w14:textId="77777777" w:rsidR="00F40F63" w:rsidRPr="00CD200A" w:rsidRDefault="00000000" w:rsidP="004A6F79">
      <w:pPr>
        <w:spacing w:after="120" w:line="240" w:lineRule="auto"/>
        <w:jc w:val="both"/>
        <w:rPr>
          <w:rFonts w:ascii="Arial" w:hAnsi="Arial" w:cs="Arial"/>
          <w:color w:val="000000" w:themeColor="text1"/>
          <w:sz w:val="20"/>
          <w:szCs w:val="20"/>
        </w:rPr>
      </w:pPr>
      <w:r w:rsidRPr="00CD200A">
        <w:rPr>
          <w:rFonts w:ascii="Arial" w:hAnsi="Arial" w:cs="Arial"/>
          <w:color w:val="000000" w:themeColor="text1"/>
          <w:sz w:val="20"/>
          <w:szCs w:val="20"/>
        </w:rPr>
        <w:t>“a) Sản lượng tài nguyên tính thuế là tổng sản lượng tài nguyên khai thác trong năm, không phân biệt tồn kho hay đang trong quá trình chế biến hoặc vận chuyển.</w:t>
      </w:r>
    </w:p>
    <w:p w14:paraId="382FDC03" w14:textId="77777777" w:rsidR="00F40F63" w:rsidRPr="00CD200A" w:rsidRDefault="00000000" w:rsidP="004A6F79">
      <w:pPr>
        <w:spacing w:after="120" w:line="240" w:lineRule="auto"/>
        <w:jc w:val="both"/>
        <w:rPr>
          <w:rFonts w:ascii="Arial" w:hAnsi="Arial" w:cs="Arial"/>
          <w:color w:val="000000" w:themeColor="text1"/>
          <w:sz w:val="20"/>
          <w:szCs w:val="20"/>
        </w:rPr>
      </w:pPr>
      <w:r w:rsidRPr="00CD200A">
        <w:rPr>
          <w:rFonts w:ascii="Arial" w:hAnsi="Arial" w:cs="Arial"/>
          <w:color w:val="000000" w:themeColor="text1"/>
          <w:sz w:val="20"/>
          <w:szCs w:val="20"/>
        </w:rPr>
        <w:t>Trường hợp trong sản lượng bán ra vừa có sản lượng sản phẩm tài nguyên vừa có sản lượng sản phẩm công nghiệp thì phải quy đổi từ tài nguyên có trong sản lượng sản phẩm tài nguyên và sản phẩm công nghiệp ra sản lượng tài nguyên khai thác theo định mức sử dụng tài nguyên do người nộp thuế tự xác định.</w:t>
      </w:r>
    </w:p>
    <w:p w14:paraId="1F182813" w14:textId="77777777" w:rsidR="00F40F63" w:rsidRPr="00CD200A" w:rsidRDefault="00000000" w:rsidP="004A6F79">
      <w:pPr>
        <w:spacing w:after="120" w:line="240" w:lineRule="auto"/>
        <w:jc w:val="both"/>
        <w:rPr>
          <w:rFonts w:ascii="Arial" w:hAnsi="Arial" w:cs="Arial"/>
          <w:color w:val="000000" w:themeColor="text1"/>
          <w:sz w:val="20"/>
          <w:szCs w:val="20"/>
        </w:rPr>
      </w:pPr>
      <w:r w:rsidRPr="00CD200A">
        <w:rPr>
          <w:rFonts w:ascii="Arial" w:hAnsi="Arial" w:cs="Arial"/>
          <w:color w:val="000000" w:themeColor="text1"/>
          <w:sz w:val="20"/>
          <w:szCs w:val="20"/>
        </w:rPr>
        <w:t>Trường hợp áp dụng định mức sử dụng tài nguyên tính trên một đơn vị sản phẩm do người nộp thuế tự xác định tính ra số thuế tài nguyên phải nộp thấp hơn số thuế tài nguyên tính theo định mức sử dụng tài nguyên do Ủy ban nhân dân cấp tỉnh đã ban hành đối với cùng một loại tài nguyên thì áp dụng định mức sử dụng tài nguyên do Ủy ban nhân dân cấp tỉnh ban hành”.</w:t>
      </w:r>
    </w:p>
    <w:p w14:paraId="7CC6113A" w14:textId="77777777" w:rsidR="00F40F63" w:rsidRPr="00CD200A" w:rsidRDefault="00000000" w:rsidP="004A6F79">
      <w:pPr>
        <w:spacing w:after="120" w:line="240" w:lineRule="auto"/>
        <w:jc w:val="both"/>
        <w:rPr>
          <w:rFonts w:ascii="Arial" w:hAnsi="Arial" w:cs="Arial"/>
          <w:color w:val="000000" w:themeColor="text1"/>
          <w:sz w:val="20"/>
          <w:szCs w:val="20"/>
        </w:rPr>
      </w:pPr>
      <w:r w:rsidRPr="00CD200A">
        <w:rPr>
          <w:rFonts w:ascii="Arial" w:hAnsi="Arial" w:cs="Arial"/>
          <w:color w:val="000000" w:themeColor="text1"/>
          <w:sz w:val="20"/>
          <w:szCs w:val="20"/>
        </w:rPr>
        <w:t>4. Sửa đổi, bổ sung khoản 1 Điều 13 được sửa đổi, bổ sung bởi khoản 3 Điều 2 của Thông tư số 41/2024/TT-BTC như sau:</w:t>
      </w:r>
    </w:p>
    <w:p w14:paraId="558FE457" w14:textId="77777777" w:rsidR="00F40F63" w:rsidRPr="00CD200A" w:rsidRDefault="00000000" w:rsidP="004A6F79">
      <w:pPr>
        <w:spacing w:after="120" w:line="240" w:lineRule="auto"/>
        <w:jc w:val="both"/>
        <w:rPr>
          <w:rFonts w:ascii="Arial" w:hAnsi="Arial" w:cs="Arial"/>
          <w:color w:val="000000" w:themeColor="text1"/>
          <w:sz w:val="20"/>
          <w:szCs w:val="20"/>
        </w:rPr>
      </w:pPr>
      <w:r w:rsidRPr="00CD200A">
        <w:rPr>
          <w:rFonts w:ascii="Arial" w:hAnsi="Arial" w:cs="Arial"/>
          <w:color w:val="000000" w:themeColor="text1"/>
          <w:sz w:val="20"/>
          <w:szCs w:val="20"/>
        </w:rPr>
        <w:t>“1. Ủy ban nhân dân cấp tỉnh có trách nhiệm:</w:t>
      </w:r>
    </w:p>
    <w:p w14:paraId="0C37CAA1" w14:textId="77777777" w:rsidR="00F40F63" w:rsidRPr="00CD200A" w:rsidRDefault="00000000" w:rsidP="004A6F79">
      <w:pPr>
        <w:spacing w:after="120" w:line="240" w:lineRule="auto"/>
        <w:jc w:val="both"/>
        <w:rPr>
          <w:rFonts w:ascii="Arial" w:hAnsi="Arial" w:cs="Arial"/>
          <w:color w:val="000000" w:themeColor="text1"/>
          <w:sz w:val="20"/>
          <w:szCs w:val="20"/>
        </w:rPr>
      </w:pPr>
      <w:r w:rsidRPr="00CD200A">
        <w:rPr>
          <w:rFonts w:ascii="Arial" w:hAnsi="Arial" w:cs="Arial"/>
          <w:color w:val="000000" w:themeColor="text1"/>
          <w:sz w:val="20"/>
          <w:szCs w:val="20"/>
        </w:rPr>
        <w:t>a) Chỉ đạo Sở Tài chính chủ trì, phối hợp với các cơ quan liên quan: xây dựng Bảng giá tính thuế tài nguyên áp dụng tại địa phương; rà soát biến động của thị trường để điều chỉnh Bảng giá tính thuế tài nguyên phù hợp với quy định.</w:t>
      </w:r>
    </w:p>
    <w:p w14:paraId="536540FA" w14:textId="09EE1164" w:rsidR="00F40F63" w:rsidRPr="00CD200A" w:rsidRDefault="00000000" w:rsidP="004A6F79">
      <w:pPr>
        <w:spacing w:after="120" w:line="240" w:lineRule="auto"/>
        <w:jc w:val="both"/>
        <w:rPr>
          <w:rFonts w:ascii="Arial" w:hAnsi="Arial" w:cs="Arial"/>
          <w:color w:val="000000" w:themeColor="text1"/>
          <w:sz w:val="20"/>
          <w:szCs w:val="20"/>
        </w:rPr>
      </w:pPr>
      <w:r w:rsidRPr="00CD200A">
        <w:rPr>
          <w:rFonts w:ascii="Arial" w:hAnsi="Arial" w:cs="Arial"/>
          <w:color w:val="000000" w:themeColor="text1"/>
          <w:sz w:val="20"/>
          <w:szCs w:val="20"/>
        </w:rPr>
        <w:lastRenderedPageBreak/>
        <w:t>b) Chỉ đạo các cơ quan thuế, tài chính, nông nghiệp và môi trường và các cơ quan có liên quan phối hợp thực hiện quản lý thuế tài nguyên theo hướng dẫn tại Thông tư này.”.</w:t>
      </w:r>
    </w:p>
    <w:p w14:paraId="6E7AA364" w14:textId="77777777" w:rsidR="00F40F63" w:rsidRPr="00CD200A" w:rsidRDefault="00000000" w:rsidP="004A6F79">
      <w:pPr>
        <w:spacing w:after="120" w:line="240" w:lineRule="auto"/>
        <w:jc w:val="both"/>
        <w:rPr>
          <w:rFonts w:ascii="Arial" w:hAnsi="Arial" w:cs="Arial"/>
          <w:color w:val="000000" w:themeColor="text1"/>
          <w:sz w:val="20"/>
          <w:szCs w:val="20"/>
        </w:rPr>
      </w:pPr>
      <w:r w:rsidRPr="00CD200A">
        <w:rPr>
          <w:rFonts w:ascii="Arial" w:hAnsi="Arial" w:cs="Arial"/>
          <w:b/>
          <w:color w:val="000000" w:themeColor="text1"/>
          <w:sz w:val="20"/>
          <w:szCs w:val="20"/>
        </w:rPr>
        <w:t>Điều 2. Bãi bỏ, thay thế một số quy định</w:t>
      </w:r>
    </w:p>
    <w:p w14:paraId="71DB14BB" w14:textId="77777777" w:rsidR="00F40F63" w:rsidRPr="00CD200A" w:rsidRDefault="00000000" w:rsidP="004A6F79">
      <w:pPr>
        <w:spacing w:after="120" w:line="240" w:lineRule="auto"/>
        <w:jc w:val="both"/>
        <w:rPr>
          <w:rFonts w:ascii="Arial" w:hAnsi="Arial" w:cs="Arial"/>
          <w:color w:val="000000" w:themeColor="text1"/>
          <w:sz w:val="20"/>
          <w:szCs w:val="20"/>
        </w:rPr>
      </w:pPr>
      <w:r w:rsidRPr="00CD200A">
        <w:rPr>
          <w:rFonts w:ascii="Arial" w:hAnsi="Arial" w:cs="Arial"/>
          <w:color w:val="000000" w:themeColor="text1"/>
          <w:sz w:val="20"/>
          <w:szCs w:val="20"/>
        </w:rPr>
        <w:t>1. Bãi bỏ, thay thế một số quy định tại Thông tư số 152/2015/TT-BTC</w:t>
      </w:r>
    </w:p>
    <w:p w14:paraId="7CB74F3A" w14:textId="77777777" w:rsidR="00F40F63" w:rsidRPr="00CD200A" w:rsidRDefault="00000000" w:rsidP="004A6F79">
      <w:pPr>
        <w:spacing w:after="120" w:line="240" w:lineRule="auto"/>
        <w:jc w:val="both"/>
        <w:rPr>
          <w:rFonts w:ascii="Arial" w:hAnsi="Arial" w:cs="Arial"/>
          <w:color w:val="000000" w:themeColor="text1"/>
          <w:sz w:val="20"/>
          <w:szCs w:val="20"/>
        </w:rPr>
      </w:pPr>
      <w:r w:rsidRPr="00CD200A">
        <w:rPr>
          <w:rFonts w:ascii="Arial" w:hAnsi="Arial" w:cs="Arial"/>
          <w:color w:val="000000" w:themeColor="text1"/>
          <w:sz w:val="20"/>
          <w:szCs w:val="20"/>
        </w:rPr>
        <w:t>a) Bãi bỏ Ví dụ 1, Ví dụ 2, Ví dụ 3, Ví dụ 4, Ví dụ 5, Ví dụ 6, Ví dụ 7 tại Điều 5 và Ví dụ 8, Ví dụ 9 tại Điều 6.</w:t>
      </w:r>
    </w:p>
    <w:p w14:paraId="1F6769AB" w14:textId="77777777" w:rsidR="00F40F63" w:rsidRPr="00CD200A" w:rsidRDefault="00000000" w:rsidP="004A6F79">
      <w:pPr>
        <w:spacing w:after="120" w:line="240" w:lineRule="auto"/>
        <w:jc w:val="both"/>
        <w:rPr>
          <w:rFonts w:ascii="Arial" w:hAnsi="Arial" w:cs="Arial"/>
          <w:color w:val="000000" w:themeColor="text1"/>
          <w:sz w:val="20"/>
          <w:szCs w:val="20"/>
        </w:rPr>
      </w:pPr>
      <w:r w:rsidRPr="00CD200A">
        <w:rPr>
          <w:rFonts w:ascii="Arial" w:hAnsi="Arial" w:cs="Arial"/>
          <w:color w:val="000000" w:themeColor="text1"/>
          <w:sz w:val="20"/>
          <w:szCs w:val="20"/>
        </w:rPr>
        <w:t>b) Bãi bỏ nội dung “Chi phí chế biến phát sinh của công đoạn chế biến từ sản phẩm tài nguyên thành sản phẩm công nghiệp được trừ khi xác định giá tính thuế căn cứ công nghệ chế biến của doanh nghiệp theo Dự án đã được phê duyệt nhưng không bao gồm chi phí khai thác, sàng, tuyển, làm giàu hàm lượng.” tại điểm b khoản 3 Điều 6.</w:t>
      </w:r>
    </w:p>
    <w:p w14:paraId="5D4D99DD" w14:textId="5FEB6E90" w:rsidR="00F40F63" w:rsidRPr="00CD200A" w:rsidRDefault="00000000" w:rsidP="004A6F79">
      <w:pPr>
        <w:spacing w:after="120" w:line="240" w:lineRule="auto"/>
        <w:jc w:val="both"/>
        <w:rPr>
          <w:rFonts w:ascii="Arial" w:hAnsi="Arial" w:cs="Arial"/>
          <w:color w:val="000000" w:themeColor="text1"/>
          <w:sz w:val="20"/>
          <w:szCs w:val="20"/>
        </w:rPr>
      </w:pPr>
      <w:r w:rsidRPr="00CD200A">
        <w:rPr>
          <w:rFonts w:ascii="Arial" w:hAnsi="Arial" w:cs="Arial"/>
          <w:color w:val="000000" w:themeColor="text1"/>
          <w:sz w:val="20"/>
          <w:szCs w:val="20"/>
        </w:rPr>
        <w:t>c) Bãi bỏ các cụm từ “Hàng năm”, cụm từ “để thực hiện cho năm tiếp theo liền kề”, cụm từ “phải căn cứ hướng dẫn của các Bộ quản lý nhà nước</w:t>
      </w:r>
      <w:r w:rsidR="004A6F79" w:rsidRPr="00CD200A">
        <w:rPr>
          <w:rFonts w:ascii="Arial" w:hAnsi="Arial" w:cs="Arial"/>
          <w:color w:val="000000" w:themeColor="text1"/>
          <w:sz w:val="20"/>
          <w:szCs w:val="20"/>
        </w:rPr>
        <w:t xml:space="preserve"> </w:t>
      </w:r>
      <w:r w:rsidRPr="00CD200A">
        <w:rPr>
          <w:rFonts w:ascii="Arial" w:hAnsi="Arial" w:cs="Arial"/>
          <w:color w:val="000000" w:themeColor="text1"/>
          <w:sz w:val="20"/>
          <w:szCs w:val="20"/>
        </w:rPr>
        <w:t>chuyên ngành, Bộ Tài chính và”, và cụm từ “nhưng không bao gồm chi phí khai thác, sàng, tuyển, làm giàu hàm lượng” tại khoản 5 Điều 6.</w:t>
      </w:r>
    </w:p>
    <w:p w14:paraId="05149DD6" w14:textId="77777777" w:rsidR="00F40F63" w:rsidRPr="00CD200A" w:rsidRDefault="00000000" w:rsidP="004A6F79">
      <w:pPr>
        <w:spacing w:after="120" w:line="240" w:lineRule="auto"/>
        <w:jc w:val="both"/>
        <w:rPr>
          <w:rFonts w:ascii="Arial" w:hAnsi="Arial" w:cs="Arial"/>
          <w:color w:val="000000" w:themeColor="text1"/>
          <w:sz w:val="20"/>
          <w:szCs w:val="20"/>
        </w:rPr>
      </w:pPr>
      <w:r w:rsidRPr="00CD200A">
        <w:rPr>
          <w:rFonts w:ascii="Arial" w:hAnsi="Arial" w:cs="Arial"/>
          <w:color w:val="000000" w:themeColor="text1"/>
          <w:sz w:val="20"/>
          <w:szCs w:val="20"/>
        </w:rPr>
        <w:t>d) Thay thế cụm từ “tài nguyên và môi trường” bằng cụm từ “nông nghiệp và môi trường” tại khoản 6 Điều 5 và điểm c2 khoản 5 Điều 6.</w:t>
      </w:r>
    </w:p>
    <w:p w14:paraId="02F7D976" w14:textId="77777777" w:rsidR="00F40F63" w:rsidRPr="00CD200A" w:rsidRDefault="00000000" w:rsidP="004A6F79">
      <w:pPr>
        <w:spacing w:after="120" w:line="240" w:lineRule="auto"/>
        <w:jc w:val="both"/>
        <w:rPr>
          <w:rFonts w:ascii="Arial" w:hAnsi="Arial" w:cs="Arial"/>
          <w:color w:val="000000" w:themeColor="text1"/>
          <w:sz w:val="20"/>
          <w:szCs w:val="20"/>
        </w:rPr>
      </w:pPr>
      <w:r w:rsidRPr="00CD200A">
        <w:rPr>
          <w:rFonts w:ascii="Arial" w:hAnsi="Arial" w:cs="Arial"/>
          <w:color w:val="000000" w:themeColor="text1"/>
          <w:sz w:val="20"/>
          <w:szCs w:val="20"/>
        </w:rPr>
        <w:t>2. Bãi bỏ khoản 2 và khoản 3 Điều 2 Thông tư số 41/2024/TT-BTC ngày 20 tháng 5 năm 2024 của Bộ trưởng Bộ Tài chính sửa đổi, bổ sung một số điều của Thông tư số 44/2017/TT-BTC ngày 12 tháng 5 năm 2017 của Bộ trưởng Bộ Tài chính quy định về khung giá tính thuế tài nguyên đối với nhóm, loại tài nguyên có tính chất lý, hóa giống nhau và Thông tư số 152/2015/TT-BTC ngày 02 tháng 10 năm 2015 của Bộ trưởng Bộ Tài chính hướng dẫn về thuế tài nguyên.</w:t>
      </w:r>
    </w:p>
    <w:p w14:paraId="795E389D" w14:textId="77777777" w:rsidR="00F40F63" w:rsidRPr="00CD200A" w:rsidRDefault="00000000" w:rsidP="004A6F79">
      <w:pPr>
        <w:spacing w:after="120" w:line="240" w:lineRule="auto"/>
        <w:jc w:val="both"/>
        <w:rPr>
          <w:rFonts w:ascii="Arial" w:hAnsi="Arial" w:cs="Arial"/>
          <w:color w:val="000000" w:themeColor="text1"/>
          <w:sz w:val="20"/>
          <w:szCs w:val="20"/>
        </w:rPr>
      </w:pPr>
      <w:r w:rsidRPr="00CD200A">
        <w:rPr>
          <w:rFonts w:ascii="Arial" w:hAnsi="Arial" w:cs="Arial"/>
          <w:b/>
          <w:color w:val="000000" w:themeColor="text1"/>
          <w:sz w:val="20"/>
          <w:szCs w:val="20"/>
        </w:rPr>
        <w:t>Điều 3. Điều khoản thi hành</w:t>
      </w:r>
    </w:p>
    <w:p w14:paraId="2EAEDA72" w14:textId="77777777" w:rsidR="00F40F63" w:rsidRPr="00CD200A" w:rsidRDefault="00000000" w:rsidP="004A6F79">
      <w:pPr>
        <w:spacing w:after="120" w:line="240" w:lineRule="auto"/>
        <w:jc w:val="both"/>
        <w:rPr>
          <w:rFonts w:ascii="Arial" w:hAnsi="Arial" w:cs="Arial"/>
          <w:color w:val="000000" w:themeColor="text1"/>
          <w:sz w:val="20"/>
          <w:szCs w:val="20"/>
        </w:rPr>
      </w:pPr>
      <w:r w:rsidRPr="00CD200A">
        <w:rPr>
          <w:rFonts w:ascii="Arial" w:hAnsi="Arial" w:cs="Arial"/>
          <w:color w:val="000000" w:themeColor="text1"/>
          <w:sz w:val="20"/>
          <w:szCs w:val="20"/>
        </w:rPr>
        <w:t>1. Thông tư có hiệu lực từ ngày 09 tháng 9 năm 2026 và áp dụng từ kỳ tính thuế tài nguyên năm 2026.</w:t>
      </w:r>
    </w:p>
    <w:p w14:paraId="04FF181E" w14:textId="77777777" w:rsidR="00F40F63" w:rsidRPr="00CD200A" w:rsidRDefault="00000000" w:rsidP="004A6F79">
      <w:pPr>
        <w:spacing w:after="120" w:line="240" w:lineRule="auto"/>
        <w:jc w:val="both"/>
        <w:rPr>
          <w:rFonts w:ascii="Arial" w:hAnsi="Arial" w:cs="Arial"/>
          <w:color w:val="000000" w:themeColor="text1"/>
          <w:sz w:val="20"/>
          <w:szCs w:val="20"/>
        </w:rPr>
      </w:pPr>
      <w:r w:rsidRPr="00CD200A">
        <w:rPr>
          <w:rFonts w:ascii="Arial" w:hAnsi="Arial" w:cs="Arial"/>
          <w:color w:val="000000" w:themeColor="text1"/>
          <w:sz w:val="20"/>
          <w:szCs w:val="20"/>
        </w:rPr>
        <w:t>2. Trong quá trình thực hiện, trường hợp phát sinh vướng mắc, đề nghị các cơ quan, tổ chức, đơn vị phản ánh kịp thời về Bộ Tài chính để nghiên cứu, hướng dẫn./.</w:t>
      </w:r>
    </w:p>
    <w:p w14:paraId="49396CD3" w14:textId="77777777" w:rsidR="004A6F79" w:rsidRPr="00CD200A" w:rsidRDefault="004A6F79" w:rsidP="004A6F79">
      <w:pPr>
        <w:adjustRightInd w:val="0"/>
        <w:snapToGrid w:val="0"/>
        <w:spacing w:after="0" w:line="240" w:lineRule="auto"/>
        <w:jc w:val="center"/>
        <w:rPr>
          <w:rFonts w:ascii="Arial" w:hAnsi="Arial" w:cs="Arial"/>
          <w:color w:val="000000" w:themeColor="text1"/>
          <w:sz w:val="20"/>
          <w:szCs w:val="20"/>
        </w:rPr>
      </w:pPr>
    </w:p>
    <w:tbl>
      <w:tblPr>
        <w:tblW w:w="5000" w:type="pct"/>
        <w:tblLook w:val="04A0" w:firstRow="1" w:lastRow="0" w:firstColumn="1" w:lastColumn="0" w:noHBand="0" w:noVBand="1"/>
      </w:tblPr>
      <w:tblGrid>
        <w:gridCol w:w="4513"/>
        <w:gridCol w:w="4513"/>
      </w:tblGrid>
      <w:tr w:rsidR="00F40F63" w:rsidRPr="00CD200A" w14:paraId="7B804FEE" w14:textId="77777777" w:rsidTr="004A6F79">
        <w:tc>
          <w:tcPr>
            <w:tcW w:w="2500" w:type="pct"/>
          </w:tcPr>
          <w:p w14:paraId="570668B1" w14:textId="55692824" w:rsidR="00F40F63" w:rsidRPr="00CD200A" w:rsidRDefault="00000000" w:rsidP="004A6F79">
            <w:pPr>
              <w:adjustRightInd w:val="0"/>
              <w:snapToGrid w:val="0"/>
              <w:spacing w:after="0" w:line="240" w:lineRule="auto"/>
              <w:rPr>
                <w:rFonts w:ascii="Arial" w:hAnsi="Arial" w:cs="Arial"/>
                <w:color w:val="000000" w:themeColor="text1"/>
                <w:sz w:val="20"/>
                <w:szCs w:val="20"/>
              </w:rPr>
            </w:pPr>
            <w:r w:rsidRPr="00CD200A">
              <w:rPr>
                <w:rFonts w:ascii="Arial" w:hAnsi="Arial" w:cs="Arial"/>
                <w:b/>
                <w:i/>
                <w:color w:val="000000" w:themeColor="text1"/>
                <w:sz w:val="20"/>
                <w:szCs w:val="20"/>
              </w:rPr>
              <w:t>Nơi nhận:</w:t>
            </w:r>
            <w:r w:rsidR="004A6F79" w:rsidRPr="00CD200A">
              <w:rPr>
                <w:rFonts w:ascii="Arial" w:hAnsi="Arial" w:cs="Arial"/>
                <w:color w:val="000000" w:themeColor="text1"/>
                <w:sz w:val="20"/>
                <w:szCs w:val="20"/>
              </w:rPr>
              <w:br/>
            </w:r>
            <w:r w:rsidRPr="00CD200A">
              <w:rPr>
                <w:rFonts w:ascii="Arial" w:hAnsi="Arial" w:cs="Arial"/>
                <w:color w:val="000000" w:themeColor="text1"/>
                <w:sz w:val="20"/>
                <w:szCs w:val="20"/>
              </w:rPr>
              <w:t>- Ban Bí thư Trung ương Đảng;</w:t>
            </w:r>
            <w:r w:rsidR="004A6F79" w:rsidRPr="00CD200A">
              <w:rPr>
                <w:rFonts w:ascii="Arial" w:hAnsi="Arial" w:cs="Arial"/>
                <w:color w:val="000000" w:themeColor="text1"/>
                <w:sz w:val="20"/>
                <w:szCs w:val="20"/>
              </w:rPr>
              <w:br/>
            </w:r>
            <w:r w:rsidRPr="00CD200A">
              <w:rPr>
                <w:rFonts w:ascii="Arial" w:hAnsi="Arial" w:cs="Arial"/>
                <w:color w:val="000000" w:themeColor="text1"/>
                <w:sz w:val="20"/>
                <w:szCs w:val="20"/>
              </w:rPr>
              <w:t>- Thủ tướng, các Phó Thủ tướng Chính phủ;</w:t>
            </w:r>
            <w:r w:rsidR="004A6F79" w:rsidRPr="00CD200A">
              <w:rPr>
                <w:rFonts w:ascii="Arial" w:hAnsi="Arial" w:cs="Arial"/>
                <w:color w:val="000000" w:themeColor="text1"/>
                <w:sz w:val="20"/>
                <w:szCs w:val="20"/>
              </w:rPr>
              <w:br/>
            </w:r>
            <w:r w:rsidRPr="00CD200A">
              <w:rPr>
                <w:rFonts w:ascii="Arial" w:hAnsi="Arial" w:cs="Arial"/>
                <w:color w:val="000000" w:themeColor="text1"/>
                <w:sz w:val="20"/>
                <w:szCs w:val="20"/>
              </w:rPr>
              <w:t>- Văn phòng Trung ương Đảng và các Ban của Đảng;</w:t>
            </w:r>
            <w:r w:rsidR="004A6F79" w:rsidRPr="00CD200A">
              <w:rPr>
                <w:rFonts w:ascii="Arial" w:hAnsi="Arial" w:cs="Arial"/>
                <w:color w:val="000000" w:themeColor="text1"/>
                <w:sz w:val="20"/>
                <w:szCs w:val="20"/>
              </w:rPr>
              <w:br/>
            </w:r>
            <w:r w:rsidRPr="00CD200A">
              <w:rPr>
                <w:rFonts w:ascii="Arial" w:hAnsi="Arial" w:cs="Arial"/>
                <w:color w:val="000000" w:themeColor="text1"/>
                <w:sz w:val="20"/>
                <w:szCs w:val="20"/>
              </w:rPr>
              <w:t>- Văn phòng Tổng Bí thư;</w:t>
            </w:r>
            <w:r w:rsidR="004A6F79" w:rsidRPr="00CD200A">
              <w:rPr>
                <w:rFonts w:ascii="Arial" w:hAnsi="Arial" w:cs="Arial"/>
                <w:color w:val="000000" w:themeColor="text1"/>
                <w:sz w:val="20"/>
                <w:szCs w:val="20"/>
              </w:rPr>
              <w:br/>
            </w:r>
            <w:r w:rsidRPr="00CD200A">
              <w:rPr>
                <w:rFonts w:ascii="Arial" w:hAnsi="Arial" w:cs="Arial"/>
                <w:color w:val="000000" w:themeColor="text1"/>
                <w:sz w:val="20"/>
                <w:szCs w:val="20"/>
              </w:rPr>
              <w:t>- Văn phòng Chủ tịch nước;</w:t>
            </w:r>
            <w:r w:rsidR="004A6F79" w:rsidRPr="00CD200A">
              <w:rPr>
                <w:rFonts w:ascii="Arial" w:hAnsi="Arial" w:cs="Arial"/>
                <w:color w:val="000000" w:themeColor="text1"/>
                <w:sz w:val="20"/>
                <w:szCs w:val="20"/>
              </w:rPr>
              <w:br/>
            </w:r>
            <w:r w:rsidRPr="00CD200A">
              <w:rPr>
                <w:rFonts w:ascii="Arial" w:hAnsi="Arial" w:cs="Arial"/>
                <w:color w:val="000000" w:themeColor="text1"/>
                <w:sz w:val="20"/>
                <w:szCs w:val="20"/>
              </w:rPr>
              <w:t>- Văn phòng Chính phủ;</w:t>
            </w:r>
            <w:r w:rsidR="004A6F79" w:rsidRPr="00CD200A">
              <w:rPr>
                <w:rFonts w:ascii="Arial" w:hAnsi="Arial" w:cs="Arial"/>
                <w:color w:val="000000" w:themeColor="text1"/>
                <w:sz w:val="20"/>
                <w:szCs w:val="20"/>
              </w:rPr>
              <w:br/>
            </w:r>
            <w:r w:rsidRPr="00CD200A">
              <w:rPr>
                <w:rFonts w:ascii="Arial" w:hAnsi="Arial" w:cs="Arial"/>
                <w:color w:val="000000" w:themeColor="text1"/>
                <w:sz w:val="20"/>
                <w:szCs w:val="20"/>
              </w:rPr>
              <w:t>- Văn phòng Quốc hội;</w:t>
            </w:r>
            <w:r w:rsidR="004A6F79" w:rsidRPr="00CD200A">
              <w:rPr>
                <w:rFonts w:ascii="Arial" w:hAnsi="Arial" w:cs="Arial"/>
                <w:color w:val="000000" w:themeColor="text1"/>
                <w:sz w:val="20"/>
                <w:szCs w:val="20"/>
              </w:rPr>
              <w:br/>
            </w:r>
            <w:r w:rsidRPr="00CD200A">
              <w:rPr>
                <w:rFonts w:ascii="Arial" w:hAnsi="Arial" w:cs="Arial"/>
                <w:color w:val="000000" w:themeColor="text1"/>
                <w:sz w:val="20"/>
                <w:szCs w:val="20"/>
              </w:rPr>
              <w:t>- Hội đồng dân tộc và các Ủy ban của Quốc hội;</w:t>
            </w:r>
            <w:r w:rsidR="004A6F79" w:rsidRPr="00CD200A">
              <w:rPr>
                <w:rFonts w:ascii="Arial" w:hAnsi="Arial" w:cs="Arial"/>
                <w:color w:val="000000" w:themeColor="text1"/>
                <w:sz w:val="20"/>
                <w:szCs w:val="20"/>
              </w:rPr>
              <w:br/>
            </w:r>
            <w:r w:rsidRPr="00CD200A">
              <w:rPr>
                <w:rFonts w:ascii="Arial" w:hAnsi="Arial" w:cs="Arial"/>
                <w:color w:val="000000" w:themeColor="text1"/>
                <w:sz w:val="20"/>
                <w:szCs w:val="20"/>
              </w:rPr>
              <w:t>- Viện kiểm sát nhân dân tối cao;</w:t>
            </w:r>
            <w:r w:rsidR="004A6F79" w:rsidRPr="00CD200A">
              <w:rPr>
                <w:rFonts w:ascii="Arial" w:hAnsi="Arial" w:cs="Arial"/>
                <w:color w:val="000000" w:themeColor="text1"/>
                <w:sz w:val="20"/>
                <w:szCs w:val="20"/>
              </w:rPr>
              <w:br/>
            </w:r>
            <w:r w:rsidRPr="00CD200A">
              <w:rPr>
                <w:rFonts w:ascii="Arial" w:hAnsi="Arial" w:cs="Arial"/>
                <w:color w:val="000000" w:themeColor="text1"/>
                <w:sz w:val="20"/>
                <w:szCs w:val="20"/>
              </w:rPr>
              <w:t>- Tòa án nhân dân tối cao;</w:t>
            </w:r>
            <w:r w:rsidR="004A6F79" w:rsidRPr="00CD200A">
              <w:rPr>
                <w:rFonts w:ascii="Arial" w:hAnsi="Arial" w:cs="Arial"/>
                <w:color w:val="000000" w:themeColor="text1"/>
                <w:sz w:val="20"/>
                <w:szCs w:val="20"/>
              </w:rPr>
              <w:br/>
            </w:r>
            <w:r w:rsidRPr="00CD200A">
              <w:rPr>
                <w:rFonts w:ascii="Arial" w:hAnsi="Arial" w:cs="Arial"/>
                <w:color w:val="000000" w:themeColor="text1"/>
                <w:sz w:val="20"/>
                <w:szCs w:val="20"/>
              </w:rPr>
              <w:t>- Kiểm toán nhà nước;</w:t>
            </w:r>
            <w:r w:rsidR="004A6F79" w:rsidRPr="00CD200A">
              <w:rPr>
                <w:rFonts w:ascii="Arial" w:hAnsi="Arial" w:cs="Arial"/>
                <w:color w:val="000000" w:themeColor="text1"/>
                <w:sz w:val="20"/>
                <w:szCs w:val="20"/>
              </w:rPr>
              <w:br/>
            </w:r>
            <w:r w:rsidRPr="00CD200A">
              <w:rPr>
                <w:rFonts w:ascii="Arial" w:hAnsi="Arial" w:cs="Arial"/>
                <w:color w:val="000000" w:themeColor="text1"/>
                <w:sz w:val="20"/>
                <w:szCs w:val="20"/>
              </w:rPr>
              <w:t>- Các bộ, cơ quan ngang Bộ;</w:t>
            </w:r>
            <w:r w:rsidR="004A6F79" w:rsidRPr="00CD200A">
              <w:rPr>
                <w:rFonts w:ascii="Arial" w:hAnsi="Arial" w:cs="Arial"/>
                <w:color w:val="000000" w:themeColor="text1"/>
                <w:sz w:val="20"/>
                <w:szCs w:val="20"/>
              </w:rPr>
              <w:br/>
            </w:r>
            <w:r w:rsidRPr="00CD200A">
              <w:rPr>
                <w:rFonts w:ascii="Arial" w:hAnsi="Arial" w:cs="Arial"/>
                <w:color w:val="000000" w:themeColor="text1"/>
                <w:sz w:val="20"/>
                <w:szCs w:val="20"/>
              </w:rPr>
              <w:t>- Ủy ban Trung ương Mặt trận Tổ quốc Việt Nam;</w:t>
            </w:r>
            <w:r w:rsidR="004A6F79" w:rsidRPr="00CD200A">
              <w:rPr>
                <w:rFonts w:ascii="Arial" w:hAnsi="Arial" w:cs="Arial"/>
                <w:color w:val="000000" w:themeColor="text1"/>
                <w:sz w:val="20"/>
                <w:szCs w:val="20"/>
              </w:rPr>
              <w:br/>
            </w:r>
            <w:r w:rsidRPr="00CD200A">
              <w:rPr>
                <w:rFonts w:ascii="Arial" w:hAnsi="Arial" w:cs="Arial"/>
                <w:color w:val="000000" w:themeColor="text1"/>
                <w:sz w:val="20"/>
                <w:szCs w:val="20"/>
              </w:rPr>
              <w:t>- HĐND, UBND các tỉnh, thành phố trực thuộc trung ương;</w:t>
            </w:r>
            <w:r w:rsidR="004A6F79" w:rsidRPr="00CD200A">
              <w:rPr>
                <w:rFonts w:ascii="Arial" w:hAnsi="Arial" w:cs="Arial"/>
                <w:color w:val="000000" w:themeColor="text1"/>
                <w:sz w:val="20"/>
                <w:szCs w:val="20"/>
              </w:rPr>
              <w:br/>
            </w:r>
            <w:r w:rsidRPr="00CD200A">
              <w:rPr>
                <w:rFonts w:ascii="Arial" w:hAnsi="Arial" w:cs="Arial"/>
                <w:color w:val="000000" w:themeColor="text1"/>
                <w:sz w:val="20"/>
                <w:szCs w:val="20"/>
              </w:rPr>
              <w:t>- Sở Tài chính, Thuế, Sở Nông nghiệp và Môi trường các tỉnh, thành phố trực thuộc trung ương;</w:t>
            </w:r>
            <w:r w:rsidR="004A6F79" w:rsidRPr="00CD200A">
              <w:rPr>
                <w:rFonts w:ascii="Arial" w:hAnsi="Arial" w:cs="Arial"/>
                <w:color w:val="000000" w:themeColor="text1"/>
                <w:sz w:val="20"/>
                <w:szCs w:val="20"/>
              </w:rPr>
              <w:br/>
            </w:r>
            <w:r w:rsidRPr="00CD200A">
              <w:rPr>
                <w:rFonts w:ascii="Arial" w:hAnsi="Arial" w:cs="Arial"/>
                <w:color w:val="000000" w:themeColor="text1"/>
                <w:sz w:val="20"/>
                <w:szCs w:val="20"/>
              </w:rPr>
              <w:t>- Chi cục Hải quan, Kho bạc Nhà nước các khu vực;</w:t>
            </w:r>
            <w:r w:rsidR="004A6F79" w:rsidRPr="00CD200A">
              <w:rPr>
                <w:rFonts w:ascii="Arial" w:hAnsi="Arial" w:cs="Arial"/>
                <w:color w:val="000000" w:themeColor="text1"/>
                <w:sz w:val="20"/>
                <w:szCs w:val="20"/>
              </w:rPr>
              <w:br/>
            </w:r>
            <w:r w:rsidRPr="00CD200A">
              <w:rPr>
                <w:rFonts w:ascii="Arial" w:hAnsi="Arial" w:cs="Arial"/>
                <w:color w:val="000000" w:themeColor="text1"/>
                <w:sz w:val="20"/>
                <w:szCs w:val="20"/>
              </w:rPr>
              <w:t>- Cục Kiểm tra văn bản và Tổ chức thi hành pháp luật, Bộ Tư pháp;</w:t>
            </w:r>
            <w:r w:rsidR="004A6F79" w:rsidRPr="00CD200A">
              <w:rPr>
                <w:rFonts w:ascii="Arial" w:hAnsi="Arial" w:cs="Arial"/>
                <w:color w:val="000000" w:themeColor="text1"/>
                <w:sz w:val="20"/>
                <w:szCs w:val="20"/>
              </w:rPr>
              <w:br/>
            </w:r>
            <w:r w:rsidRPr="00CD200A">
              <w:rPr>
                <w:rFonts w:ascii="Arial" w:hAnsi="Arial" w:cs="Arial"/>
                <w:color w:val="000000" w:themeColor="text1"/>
                <w:sz w:val="20"/>
                <w:szCs w:val="20"/>
              </w:rPr>
              <w:t>- Công báo;</w:t>
            </w:r>
            <w:r w:rsidR="004A6F79" w:rsidRPr="00CD200A">
              <w:rPr>
                <w:rFonts w:ascii="Arial" w:hAnsi="Arial" w:cs="Arial"/>
                <w:color w:val="000000" w:themeColor="text1"/>
                <w:sz w:val="20"/>
                <w:szCs w:val="20"/>
              </w:rPr>
              <w:br/>
            </w:r>
            <w:r w:rsidRPr="00CD200A">
              <w:rPr>
                <w:rFonts w:ascii="Arial" w:hAnsi="Arial" w:cs="Arial"/>
                <w:color w:val="000000" w:themeColor="text1"/>
                <w:sz w:val="20"/>
                <w:szCs w:val="20"/>
              </w:rPr>
              <w:t>- Cơ sở dữ liệu quốc gia về pháp luật;</w:t>
            </w:r>
            <w:r w:rsidR="004A6F79" w:rsidRPr="00CD200A">
              <w:rPr>
                <w:rFonts w:ascii="Arial" w:hAnsi="Arial" w:cs="Arial"/>
                <w:color w:val="000000" w:themeColor="text1"/>
                <w:sz w:val="20"/>
                <w:szCs w:val="20"/>
              </w:rPr>
              <w:br/>
            </w:r>
            <w:r w:rsidRPr="00CD200A">
              <w:rPr>
                <w:rFonts w:ascii="Arial" w:hAnsi="Arial" w:cs="Arial"/>
                <w:color w:val="000000" w:themeColor="text1"/>
                <w:sz w:val="20"/>
                <w:szCs w:val="20"/>
              </w:rPr>
              <w:t>- Cổng thông tin điện tử Chính phủ;</w:t>
            </w:r>
            <w:r w:rsidR="004A6F79" w:rsidRPr="00CD200A">
              <w:rPr>
                <w:rFonts w:ascii="Arial" w:hAnsi="Arial" w:cs="Arial"/>
                <w:color w:val="000000" w:themeColor="text1"/>
                <w:sz w:val="20"/>
                <w:szCs w:val="20"/>
              </w:rPr>
              <w:br/>
            </w:r>
            <w:r w:rsidRPr="00CD200A">
              <w:rPr>
                <w:rFonts w:ascii="Arial" w:hAnsi="Arial" w:cs="Arial"/>
                <w:color w:val="000000" w:themeColor="text1"/>
                <w:sz w:val="20"/>
                <w:szCs w:val="20"/>
              </w:rPr>
              <w:t>- Cổng thông tin điện tử Bộ Tài chính;</w:t>
            </w:r>
            <w:r w:rsidR="004A6F79" w:rsidRPr="00CD200A">
              <w:rPr>
                <w:rFonts w:ascii="Arial" w:hAnsi="Arial" w:cs="Arial"/>
                <w:color w:val="000000" w:themeColor="text1"/>
                <w:sz w:val="20"/>
                <w:szCs w:val="20"/>
              </w:rPr>
              <w:br/>
            </w:r>
            <w:r w:rsidRPr="00CD200A">
              <w:rPr>
                <w:rFonts w:ascii="Arial" w:hAnsi="Arial" w:cs="Arial"/>
                <w:color w:val="000000" w:themeColor="text1"/>
                <w:sz w:val="20"/>
                <w:szCs w:val="20"/>
              </w:rPr>
              <w:lastRenderedPageBreak/>
              <w:t>- Các đơn vị thuộc Bộ Tài chính;</w:t>
            </w:r>
            <w:r w:rsidR="004A6F79" w:rsidRPr="00CD200A">
              <w:rPr>
                <w:rFonts w:ascii="Arial" w:hAnsi="Arial" w:cs="Arial"/>
                <w:color w:val="000000" w:themeColor="text1"/>
                <w:sz w:val="20"/>
                <w:szCs w:val="20"/>
              </w:rPr>
              <w:br/>
            </w:r>
            <w:r w:rsidRPr="00CD200A">
              <w:rPr>
                <w:rFonts w:ascii="Arial" w:hAnsi="Arial" w:cs="Arial"/>
                <w:color w:val="000000" w:themeColor="text1"/>
                <w:sz w:val="20"/>
                <w:szCs w:val="20"/>
              </w:rPr>
              <w:t>- Lưu: VT, CST (140b).</w:t>
            </w:r>
          </w:p>
        </w:tc>
        <w:tc>
          <w:tcPr>
            <w:tcW w:w="2500" w:type="pct"/>
          </w:tcPr>
          <w:p w14:paraId="2BEB4344" w14:textId="3E9DF34D" w:rsidR="004A6F79" w:rsidRPr="00CD200A" w:rsidRDefault="004A6F79" w:rsidP="004A6F79">
            <w:pPr>
              <w:adjustRightInd w:val="0"/>
              <w:snapToGrid w:val="0"/>
              <w:spacing w:after="0" w:line="240" w:lineRule="auto"/>
              <w:jc w:val="center"/>
              <w:rPr>
                <w:rFonts w:ascii="Arial" w:hAnsi="Arial" w:cs="Arial"/>
                <w:b/>
                <w:bCs/>
                <w:color w:val="000000" w:themeColor="text1"/>
                <w:sz w:val="20"/>
                <w:szCs w:val="20"/>
              </w:rPr>
            </w:pPr>
            <w:r w:rsidRPr="00CD200A">
              <w:rPr>
                <w:rFonts w:ascii="Arial" w:hAnsi="Arial" w:cs="Arial"/>
                <w:b/>
                <w:bCs/>
                <w:color w:val="000000" w:themeColor="text1"/>
                <w:sz w:val="20"/>
                <w:szCs w:val="20"/>
              </w:rPr>
              <w:lastRenderedPageBreak/>
              <w:t>KT. BỘ TRƯỞNG</w:t>
            </w:r>
            <w:r w:rsidRPr="00CD200A">
              <w:rPr>
                <w:rFonts w:ascii="Arial" w:hAnsi="Arial" w:cs="Arial"/>
                <w:b/>
                <w:bCs/>
                <w:color w:val="000000" w:themeColor="text1"/>
                <w:sz w:val="20"/>
                <w:szCs w:val="20"/>
              </w:rPr>
              <w:br/>
              <w:t>THỨ TRƯỞNG</w:t>
            </w:r>
            <w:r w:rsidRPr="00CD200A">
              <w:rPr>
                <w:rFonts w:ascii="Arial" w:hAnsi="Arial" w:cs="Arial"/>
                <w:b/>
                <w:bCs/>
                <w:color w:val="000000" w:themeColor="text1"/>
                <w:sz w:val="20"/>
                <w:szCs w:val="20"/>
              </w:rPr>
              <w:br/>
            </w:r>
            <w:r w:rsidRPr="00CD200A">
              <w:rPr>
                <w:rFonts w:ascii="Arial" w:hAnsi="Arial" w:cs="Arial"/>
                <w:b/>
                <w:bCs/>
                <w:color w:val="000000" w:themeColor="text1"/>
                <w:sz w:val="20"/>
                <w:szCs w:val="20"/>
              </w:rPr>
              <w:br/>
            </w:r>
            <w:r w:rsidRPr="00CD200A">
              <w:rPr>
                <w:rFonts w:ascii="Arial" w:hAnsi="Arial" w:cs="Arial"/>
                <w:b/>
                <w:bCs/>
                <w:color w:val="000000" w:themeColor="text1"/>
                <w:sz w:val="20"/>
                <w:szCs w:val="20"/>
              </w:rPr>
              <w:br/>
            </w:r>
            <w:r w:rsidRPr="00CD200A">
              <w:rPr>
                <w:rFonts w:ascii="Arial" w:hAnsi="Arial" w:cs="Arial"/>
                <w:b/>
                <w:bCs/>
                <w:color w:val="000000" w:themeColor="text1"/>
                <w:sz w:val="20"/>
                <w:szCs w:val="20"/>
              </w:rPr>
              <w:br/>
            </w:r>
            <w:r w:rsidRPr="00CD200A">
              <w:rPr>
                <w:rFonts w:ascii="Arial" w:hAnsi="Arial" w:cs="Arial"/>
                <w:b/>
                <w:bCs/>
                <w:color w:val="000000" w:themeColor="text1"/>
                <w:sz w:val="20"/>
                <w:szCs w:val="20"/>
              </w:rPr>
              <w:br/>
            </w:r>
            <w:r w:rsidRPr="00CD200A">
              <w:rPr>
                <w:rFonts w:ascii="Arial" w:hAnsi="Arial" w:cs="Arial"/>
                <w:b/>
                <w:bCs/>
                <w:color w:val="000000" w:themeColor="text1"/>
                <w:sz w:val="20"/>
                <w:szCs w:val="20"/>
              </w:rPr>
              <w:br/>
              <w:t>Cao Anh Tuấn</w:t>
            </w:r>
          </w:p>
        </w:tc>
      </w:tr>
    </w:tbl>
    <w:p w14:paraId="04876190" w14:textId="77777777" w:rsidR="00F551EE" w:rsidRPr="00CD200A" w:rsidRDefault="00F551EE" w:rsidP="004A6F79">
      <w:pPr>
        <w:spacing w:after="120" w:line="240" w:lineRule="auto"/>
        <w:jc w:val="both"/>
        <w:rPr>
          <w:rFonts w:ascii="Arial" w:hAnsi="Arial" w:cs="Arial"/>
          <w:color w:val="000000" w:themeColor="text1"/>
          <w:sz w:val="20"/>
          <w:szCs w:val="20"/>
        </w:rPr>
      </w:pPr>
    </w:p>
    <w:sectPr w:rsidR="00F551EE" w:rsidRPr="00CD200A" w:rsidSect="005111CF">
      <w:footerReference w:type="first" r:id="rId8"/>
      <w:pgSz w:w="11906" w:h="16838" w:code="9"/>
      <w:pgMar w:top="1440" w:right="1440" w:bottom="1440" w:left="144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EDFC2A" w14:textId="77777777" w:rsidR="00F4390A" w:rsidRDefault="00F4390A">
      <w:pPr>
        <w:spacing w:after="0" w:line="240" w:lineRule="auto"/>
      </w:pPr>
      <w:r>
        <w:separator/>
      </w:r>
    </w:p>
  </w:endnote>
  <w:endnote w:type="continuationSeparator" w:id="0">
    <w:p w14:paraId="2F4D7612" w14:textId="77777777" w:rsidR="00F4390A" w:rsidRDefault="00F439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EBE24" w14:textId="67B8D885" w:rsidR="005111CF" w:rsidRDefault="005111CF">
    <w:pPr>
      <w:pStyle w:val="Footer"/>
    </w:pPr>
    <w:r>
      <w:rPr>
        <w:noProof/>
      </w:rPr>
      <w:drawing>
        <wp:inline distT="0" distB="0" distL="0" distR="0" wp14:anchorId="39574494" wp14:editId="63EEA892">
          <wp:extent cx="5723809" cy="580952"/>
          <wp:effectExtent l="0" t="0" r="0" b="0"/>
          <wp:docPr id="13925510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551011" name=""/>
                  <pic:cNvPicPr/>
                </pic:nvPicPr>
                <pic:blipFill>
                  <a:blip r:embed="rId1"/>
                  <a:stretch>
                    <a:fillRect/>
                  </a:stretch>
                </pic:blipFill>
                <pic:spPr>
                  <a:xfrm>
                    <a:off x="0" y="0"/>
                    <a:ext cx="5723809" cy="580952"/>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3055CC" w14:textId="77777777" w:rsidR="00F4390A" w:rsidRDefault="00F4390A">
      <w:pPr>
        <w:spacing w:after="0" w:line="240" w:lineRule="auto"/>
      </w:pPr>
      <w:r>
        <w:separator/>
      </w:r>
    </w:p>
  </w:footnote>
  <w:footnote w:type="continuationSeparator" w:id="0">
    <w:p w14:paraId="474C95BC" w14:textId="77777777" w:rsidR="00F4390A" w:rsidRDefault="00F439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79092709">
    <w:abstractNumId w:val="8"/>
  </w:num>
  <w:num w:numId="2" w16cid:durableId="583031922">
    <w:abstractNumId w:val="6"/>
  </w:num>
  <w:num w:numId="3" w16cid:durableId="32585075">
    <w:abstractNumId w:val="5"/>
  </w:num>
  <w:num w:numId="4" w16cid:durableId="622881539">
    <w:abstractNumId w:val="4"/>
  </w:num>
  <w:num w:numId="5" w16cid:durableId="1889759245">
    <w:abstractNumId w:val="7"/>
  </w:num>
  <w:num w:numId="6" w16cid:durableId="1326200593">
    <w:abstractNumId w:val="3"/>
  </w:num>
  <w:num w:numId="7" w16cid:durableId="2105611860">
    <w:abstractNumId w:val="2"/>
  </w:num>
  <w:num w:numId="8" w16cid:durableId="1189876661">
    <w:abstractNumId w:val="1"/>
  </w:num>
  <w:num w:numId="9" w16cid:durableId="3521474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41C85"/>
    <w:rsid w:val="0015074B"/>
    <w:rsid w:val="0029639D"/>
    <w:rsid w:val="002F5643"/>
    <w:rsid w:val="00326F90"/>
    <w:rsid w:val="004420A3"/>
    <w:rsid w:val="004A6F79"/>
    <w:rsid w:val="004C140F"/>
    <w:rsid w:val="005111CF"/>
    <w:rsid w:val="005D359D"/>
    <w:rsid w:val="00671D06"/>
    <w:rsid w:val="00756D05"/>
    <w:rsid w:val="008C723B"/>
    <w:rsid w:val="00AA1D8D"/>
    <w:rsid w:val="00B47730"/>
    <w:rsid w:val="00CB0664"/>
    <w:rsid w:val="00CD200A"/>
    <w:rsid w:val="00D32EDB"/>
    <w:rsid w:val="00F40F63"/>
    <w:rsid w:val="00F4390A"/>
    <w:rsid w:val="00F551E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FCF6695"/>
  <w14:defaultImageDpi w14:val="300"/>
  <w15:docId w15:val="{16079B9D-00A5-4C07-A7E2-8AEBB4AB2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6F79"/>
    <w:rPr>
      <w:rFonts w:ascii="Times New Roman" w:eastAsia="Times New Roman" w:hAnsi="Times New Roman"/>
      <w:sz w:val="26"/>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925</Words>
  <Characters>5278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Thông tư số 135/2026/TT-BTC</vt:lpstr>
    </vt:vector>
  </TitlesOfParts>
  <Manager/>
  <Company/>
  <LinksUpToDate>false</LinksUpToDate>
  <CharactersWithSpaces>6191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Thông tư số 135/2026/TT-BTC</dc:title>
  <dc:subject>Sửa đổi, bổ sung một số điều của Thông tư số 152/2015/TT-BTC</dc:subject>
  <dc:creator/>
  <cp:keywords/>
  <dc:description>generated by python-docx</dc:description>
  <cp:lastModifiedBy>Le Van Toan</cp:lastModifiedBy>
  <cp:revision>9</cp:revision>
  <dcterms:created xsi:type="dcterms:W3CDTF">2026-09-10T09:19:00Z</dcterms:created>
  <dcterms:modified xsi:type="dcterms:W3CDTF">2026-09-10T09:45:00Z</dcterms:modified>
  <cp:category/>
</cp:coreProperties>
</file>