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54"/>
      </w:tblGrid>
      <w:tr w:rsidR="00452F33" w:rsidRPr="000661A5" w14:paraId="4A0DBC45" w14:textId="77777777" w:rsidTr="006D4B52">
        <w:trPr>
          <w:jc w:val="center"/>
        </w:trPr>
        <w:tc>
          <w:tcPr>
            <w:tcW w:w="4253" w:type="dxa"/>
          </w:tcPr>
          <w:p w14:paraId="78A5082C" w14:textId="77777777" w:rsidR="00452F33" w:rsidRPr="000661A5" w:rsidRDefault="00452F33" w:rsidP="00E60153">
            <w:pPr>
              <w:widowControl w:val="0"/>
              <w:spacing w:line="320" w:lineRule="exact"/>
              <w:jc w:val="center"/>
              <w:rPr>
                <w:rFonts w:asciiTheme="majorHAnsi" w:hAnsiTheme="majorHAnsi" w:cstheme="majorHAnsi"/>
                <w:b/>
                <w:bCs/>
                <w:sz w:val="24"/>
                <w:szCs w:val="24"/>
                <w:lang w:val="pt-BR"/>
              </w:rPr>
            </w:pPr>
            <w:bookmarkStart w:id="0" w:name="loai_2"/>
            <w:r w:rsidRPr="000661A5">
              <w:rPr>
                <w:rFonts w:asciiTheme="majorHAnsi" w:hAnsiTheme="majorHAnsi" w:cstheme="majorHAnsi"/>
                <w:b/>
                <w:bCs/>
                <w:sz w:val="24"/>
                <w:szCs w:val="24"/>
                <w:lang w:val="pt-BR"/>
              </w:rPr>
              <w:t>BỘ KHOA HỌC VÀ CÔNG NGHỆ</w:t>
            </w:r>
          </w:p>
          <w:p w14:paraId="4E0A1EC9" w14:textId="7411F1AE" w:rsidR="00452F33" w:rsidRPr="000661A5" w:rsidRDefault="00452F33" w:rsidP="00E60153">
            <w:pPr>
              <w:widowControl w:val="0"/>
              <w:spacing w:line="320" w:lineRule="exact"/>
              <w:jc w:val="center"/>
              <w:rPr>
                <w:rFonts w:asciiTheme="majorHAnsi" w:hAnsiTheme="majorHAnsi" w:cstheme="majorHAnsi"/>
                <w:b/>
                <w:sz w:val="28"/>
                <w:szCs w:val="28"/>
                <w:lang w:val="pt-BR"/>
              </w:rPr>
            </w:pPr>
            <w:r w:rsidRPr="000661A5">
              <w:rPr>
                <w:rFonts w:asciiTheme="majorHAnsi" w:hAnsiTheme="majorHAnsi" w:cstheme="majorHAnsi"/>
                <w:b/>
                <w:bCs/>
                <w:noProof/>
                <w:sz w:val="28"/>
                <w:szCs w:val="28"/>
                <w:lang w:val="en-US"/>
              </w:rPr>
              <mc:AlternateContent>
                <mc:Choice Requires="wps">
                  <w:drawing>
                    <wp:anchor distT="0" distB="0" distL="114300" distR="114300" simplePos="0" relativeHeight="251665408" behindDoc="0" locked="0" layoutInCell="1" allowOverlap="1" wp14:anchorId="4A28327F" wp14:editId="33593E15">
                      <wp:simplePos x="0" y="0"/>
                      <wp:positionH relativeFrom="column">
                        <wp:posOffset>834762</wp:posOffset>
                      </wp:positionH>
                      <wp:positionV relativeFrom="paragraph">
                        <wp:posOffset>81915</wp:posOffset>
                      </wp:positionV>
                      <wp:extent cx="909136" cy="0"/>
                      <wp:effectExtent l="0" t="0" r="18415" b="12700"/>
                      <wp:wrapNone/>
                      <wp:docPr id="5" name="Straight Connector 5"/>
                      <wp:cNvGraphicFramePr/>
                      <a:graphic xmlns:a="http://schemas.openxmlformats.org/drawingml/2006/main">
                        <a:graphicData uri="http://schemas.microsoft.com/office/word/2010/wordprocessingShape">
                          <wps:wsp>
                            <wps:cNvCnPr/>
                            <wps:spPr>
                              <a:xfrm>
                                <a:off x="0" y="0"/>
                                <a:ext cx="909136"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06F9A425"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75pt,6.45pt" to="137.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Tv3QEAAA0EAAAOAAAAZHJzL2Uyb0RvYy54bWysU8GO2yAQvVfqPyDujZ1Um3atOHvIanup&#10;2qjbfgDBECMBgwYaO3/fASfeVVtV2lUv2APz3sx7DJu70Vl2UhgN+JYvFzVnykvojD+2/Mf3h3cf&#10;OYtJ+E5Y8KrlZxX53fbtm80QGrWCHmynkBGJj80QWt6nFJqqirJXTsQFBOXpUAM6kSjEY9WhGIjd&#10;2WpV1+tqAOwCglQx0u79dMi3hV9rJdNXraNKzLacektlxbIe8lptN6I5ogi9kZc2xCu6cMJ4KjpT&#10;3Ysk2E80f1A5IxEi6LSQ4CrQ2khVNJCaZf2bmsdeBFW0kDkxzDbF/0crv5z2yEzX8hvOvHB0RY8J&#10;hTn2ie3AezIQkN1kn4YQG0rf+T1eohj2mEWPGl3+khw2Fm/Ps7dqTEzS5m19u3y/5kxej6onXMCY&#10;PilwLP+03BqfVYtGnD7HRLUo9ZqSt61nA83a6kNdl7QI1nQPxtp8GPF42FlkJ5FvvF7V63LJRPEs&#10;jSLriTdLmkSUv3S2airwTWkyhdpeThXyOKqZVkipfFpmUwoTZWeYphZm4KW1fwEv+Rmqyqi+BDwj&#10;SmXwaQY74wH/1nYary3rKf/qwKQ7W3CA7lyut1hDM1cUXt5HHurncYE/veLtLwAAAP//AwBQSwME&#10;FAAGAAgAAAAhAPmMwOfdAAAACQEAAA8AAABkcnMvZG93bnJldi54bWxMj81OwzAQhO9IvIO1SNyo&#10;00CbEuJUgAT0BCKtxNWNt0lEvI5i54e3ZxEHuO3sjma/ybazbcWIvW8cKVguIhBIpTMNVQoO+6er&#10;DQgfNBndOkIFX+hhm5+fZTo1bqJ3HItQCQ4hn2oFdQhdKqUva7TaL1yHxLeT660OLPtKml5PHG5b&#10;GUfRWlrdEH+odYePNZafxWAVDLuPefVi1nv59jzukofTazEZVOryYr6/AxFwDn9m+MFndMiZ6egG&#10;Ml60rK+XK7byEN+CYEOc3CQgjr8LmWfyf4P8GwAA//8DAFBLAQItABQABgAIAAAAIQC2gziS/gAA&#10;AOEBAAATAAAAAAAAAAAAAAAAAAAAAABbQ29udGVudF9UeXBlc10ueG1sUEsBAi0AFAAGAAgAAAAh&#10;ADj9If/WAAAAlAEAAAsAAAAAAAAAAAAAAAAALwEAAF9yZWxzLy5yZWxzUEsBAi0AFAAGAAgAAAAh&#10;APE8NO/dAQAADQQAAA4AAAAAAAAAAAAAAAAALgIAAGRycy9lMm9Eb2MueG1sUEsBAi0AFAAGAAgA&#10;AAAhAPmMwOfdAAAACQEAAA8AAAAAAAAAAAAAAAAANwQAAGRycy9kb3ducmV2LnhtbFBLBQYAAAAA&#10;BAAEAPMAAABBBQAAAAA=&#10;" strokecolor="#002060" strokeweight="1pt"/>
                  </w:pict>
                </mc:Fallback>
              </mc:AlternateContent>
            </w:r>
          </w:p>
          <w:p w14:paraId="74C14B8A" w14:textId="0DBD7D58" w:rsidR="00452F33" w:rsidRPr="000661A5" w:rsidRDefault="00452F33" w:rsidP="00E60153">
            <w:pPr>
              <w:widowControl w:val="0"/>
              <w:spacing w:before="120" w:line="320" w:lineRule="exact"/>
              <w:jc w:val="center"/>
              <w:rPr>
                <w:rFonts w:asciiTheme="majorHAnsi" w:hAnsiTheme="majorHAnsi" w:cstheme="majorHAnsi"/>
                <w:b/>
                <w:sz w:val="28"/>
                <w:szCs w:val="28"/>
                <w:lang w:val="pt-BR"/>
              </w:rPr>
            </w:pPr>
          </w:p>
        </w:tc>
        <w:tc>
          <w:tcPr>
            <w:tcW w:w="5954" w:type="dxa"/>
          </w:tcPr>
          <w:p w14:paraId="367BE505" w14:textId="01C62814" w:rsidR="00452F33" w:rsidRPr="000661A5" w:rsidRDefault="00823344" w:rsidP="00E60153">
            <w:pPr>
              <w:widowControl w:val="0"/>
              <w:spacing w:line="320" w:lineRule="exact"/>
              <w:jc w:val="center"/>
              <w:rPr>
                <w:rFonts w:asciiTheme="majorHAnsi" w:hAnsiTheme="majorHAnsi" w:cstheme="majorHAnsi"/>
                <w:b/>
                <w:bCs/>
                <w:sz w:val="26"/>
                <w:szCs w:val="26"/>
                <w:lang w:val="pt-BR"/>
              </w:rPr>
            </w:pPr>
            <w:r w:rsidRPr="000661A5">
              <w:rPr>
                <w:rFonts w:asciiTheme="majorHAnsi" w:hAnsiTheme="majorHAnsi" w:cstheme="majorHAnsi"/>
                <w:b/>
                <w:bCs/>
                <w:noProof/>
                <w:sz w:val="28"/>
                <w:szCs w:val="28"/>
                <w:lang w:val="en-US"/>
              </w:rPr>
              <mc:AlternateContent>
                <mc:Choice Requires="wps">
                  <w:drawing>
                    <wp:anchor distT="0" distB="0" distL="114300" distR="114300" simplePos="0" relativeHeight="251667456" behindDoc="0" locked="0" layoutInCell="1" allowOverlap="1" wp14:anchorId="47886449" wp14:editId="5131338C">
                      <wp:simplePos x="0" y="0"/>
                      <wp:positionH relativeFrom="column">
                        <wp:posOffset>861695</wp:posOffset>
                      </wp:positionH>
                      <wp:positionV relativeFrom="paragraph">
                        <wp:posOffset>480060</wp:posOffset>
                      </wp:positionV>
                      <wp:extent cx="19145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E7D6D5A"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5pt,37.8pt" to="218.6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0V3AEAAA4EAAAOAAAAZHJzL2Uyb0RvYy54bWysU9uO0zAQfUfiHyy/01zEFoia7kNXywuC&#10;il0+wHXsxJJvGpsm/XvGTppdAUJitS9OxjPnzJxje3c7GU3OAoJytqXVpqREWO46ZfuW/ni8f/eR&#10;khCZ7Zh2VrT0IgK93b99sxt9I2o3ON0JIEhiQzP6lg4x+qYoAh+EYWHjvLCYlA4MixhCX3TARmQ3&#10;uqjLcluMDjoPjosQcPduTtJ95pdS8PhNyiAi0S3F2WJeIa+ntBb7HWt6YH5QfBmDvWAKw5TFpivV&#10;HYuM/AT1B5VRHFxwMm64M4WTUnGRNaCaqvxNzcPAvMha0JzgV5vC69Hyr+cjENW1dEuJZQaP6CEC&#10;U/0QycFZiwY6INvk0+hDg+UHe4QlCv4ISfQkwaQvyiFT9vayeiumSDhuVp+q9zf1DSX8miuegB5C&#10;/CycIemnpVrZJJs17PwlRGyGpdeStK0tGZGx/lCWuSw4rbp7pXVKBuhPBw3kzNKRl3W5zaeMFM/K&#10;MNIWeZOmWUX+ixct5gbfhURX0txzh3QfxUrLOBc2VsmVzITVCSZxhBW4jPYv4FKfoCLf1f8Br4jc&#10;2dm4go2yDv42dpyuI8u5/urArDtZcHLdJZ9vtgYvXVa4PJB0q5/HGf70jPe/AAAA//8DAFBLAwQU&#10;AAYACAAAACEAwcZwVN0AAAAJAQAADwAAAGRycy9kb3ducmV2LnhtbEyPTU/DMAyG70j8h8hI3FjK&#10;RltUmk6ABOw0RIfENWu8tqJxqib94N9jxAGOr/3o9eN8u9hOTDj41pGC61UEAqlypqVawfvh6eoW&#10;hA+ajO4coYIv9LAtzs9ynRk30xtOZagFl5DPtIImhD6T0lcNWu1Xrkfi3ckNVgeOQy3NoGcut51c&#10;R1EirW6JLzS6x8cGq89ytArG3ccSv5jkIF+fp136cNqXs0GlLi+W+zsQAZfwB8OPPqtDwU5HN5Lx&#10;ouO8iVNGFaRxAoKBm026BnH8Hcgil/8/KL4BAAD//wMAUEsBAi0AFAAGAAgAAAAhALaDOJL+AAAA&#10;4QEAABMAAAAAAAAAAAAAAAAAAAAAAFtDb250ZW50X1R5cGVzXS54bWxQSwECLQAUAAYACAAAACEA&#10;OP0h/9YAAACUAQAACwAAAAAAAAAAAAAAAAAvAQAAX3JlbHMvLnJlbHNQSwECLQAUAAYACAAAACEA&#10;kg49FdwBAAAOBAAADgAAAAAAAAAAAAAAAAAuAgAAZHJzL2Uyb0RvYy54bWxQSwECLQAUAAYACAAA&#10;ACEAwcZwVN0AAAAJAQAADwAAAAAAAAAAAAAAAAA2BAAAZHJzL2Rvd25yZXYueG1sUEsFBgAAAAAE&#10;AAQA8wAAAEAFAAAAAA==&#10;" strokecolor="#002060" strokeweight="1pt"/>
                  </w:pict>
                </mc:Fallback>
              </mc:AlternateContent>
            </w:r>
            <w:r w:rsidR="00452F33" w:rsidRPr="000661A5">
              <w:rPr>
                <w:rFonts w:asciiTheme="majorHAnsi" w:hAnsiTheme="majorHAnsi" w:cstheme="majorHAnsi"/>
                <w:b/>
                <w:sz w:val="26"/>
                <w:szCs w:val="26"/>
                <w:lang w:val="pt-BR"/>
              </w:rPr>
              <w:t>CỘNG HOÀ XÃ HỘI CHỦ NGHĨA VIỆT NAM</w:t>
            </w:r>
            <w:r w:rsidR="00452F33" w:rsidRPr="000661A5">
              <w:rPr>
                <w:rFonts w:asciiTheme="majorHAnsi" w:hAnsiTheme="majorHAnsi" w:cstheme="majorHAnsi"/>
                <w:b/>
                <w:bCs/>
                <w:sz w:val="26"/>
                <w:szCs w:val="26"/>
                <w:lang w:val="es-ES_tradnl"/>
              </w:rPr>
              <w:br/>
            </w:r>
            <w:r w:rsidR="00452F33" w:rsidRPr="00370B13">
              <w:rPr>
                <w:rFonts w:asciiTheme="majorHAnsi" w:hAnsiTheme="majorHAnsi" w:cstheme="majorHAnsi"/>
                <w:b/>
                <w:bCs/>
                <w:sz w:val="28"/>
                <w:szCs w:val="28"/>
                <w:lang w:val="pt-BR"/>
              </w:rPr>
              <w:t>Độc lập - Tự do - Hạnh phúc</w:t>
            </w:r>
          </w:p>
        </w:tc>
      </w:tr>
      <w:tr w:rsidR="00452F33" w:rsidRPr="000661A5" w14:paraId="331EB50A" w14:textId="77777777" w:rsidTr="006D4B52">
        <w:trPr>
          <w:jc w:val="center"/>
        </w:trPr>
        <w:tc>
          <w:tcPr>
            <w:tcW w:w="4253" w:type="dxa"/>
          </w:tcPr>
          <w:p w14:paraId="46BBA11E" w14:textId="03D1C2DB" w:rsidR="00452F33" w:rsidRPr="000661A5" w:rsidRDefault="006D4B52" w:rsidP="00E60153">
            <w:pPr>
              <w:widowControl w:val="0"/>
              <w:spacing w:line="320" w:lineRule="exact"/>
              <w:jc w:val="center"/>
              <w:rPr>
                <w:rFonts w:asciiTheme="majorHAnsi" w:hAnsiTheme="majorHAnsi" w:cstheme="majorHAnsi"/>
                <w:b/>
                <w:bCs/>
                <w:sz w:val="24"/>
                <w:szCs w:val="24"/>
                <w:lang w:val="pt-BR"/>
              </w:rPr>
            </w:pPr>
            <w:proofErr w:type="spellStart"/>
            <w:r w:rsidRPr="000661A5">
              <w:rPr>
                <w:rFonts w:asciiTheme="majorHAnsi" w:hAnsiTheme="majorHAnsi" w:cstheme="majorHAnsi"/>
                <w:sz w:val="28"/>
                <w:szCs w:val="28"/>
                <w:lang w:val="es-ES_tradnl"/>
              </w:rPr>
              <w:t>Số</w:t>
            </w:r>
            <w:proofErr w:type="spellEnd"/>
            <w:r w:rsidRPr="000661A5">
              <w:rPr>
                <w:rFonts w:asciiTheme="majorHAnsi" w:hAnsiTheme="majorHAnsi" w:cstheme="majorHAnsi"/>
                <w:sz w:val="28"/>
                <w:szCs w:val="28"/>
                <w:lang w:val="es-ES_tradnl"/>
              </w:rPr>
              <w:t xml:space="preserve">:  </w:t>
            </w:r>
            <w:r w:rsidR="00087F6E">
              <w:rPr>
                <w:rFonts w:asciiTheme="majorHAnsi" w:hAnsiTheme="majorHAnsi" w:cstheme="majorHAnsi"/>
                <w:sz w:val="28"/>
                <w:szCs w:val="28"/>
                <w:lang w:val="es-ES_tradnl"/>
              </w:rPr>
              <w:t>1</w:t>
            </w:r>
            <w:r w:rsidR="00764DCD">
              <w:rPr>
                <w:rFonts w:asciiTheme="majorHAnsi" w:hAnsiTheme="majorHAnsi" w:cstheme="majorHAnsi"/>
                <w:sz w:val="28"/>
                <w:szCs w:val="28"/>
                <w:lang w:val="es-ES_tradnl"/>
              </w:rPr>
              <w:t>0</w:t>
            </w:r>
            <w:r w:rsidRPr="000661A5">
              <w:rPr>
                <w:rFonts w:asciiTheme="majorHAnsi" w:hAnsiTheme="majorHAnsi" w:cstheme="majorHAnsi"/>
                <w:sz w:val="28"/>
                <w:szCs w:val="28"/>
                <w:lang w:val="es-ES_tradnl"/>
              </w:rPr>
              <w:t>/2021/TT-BKHCN</w:t>
            </w:r>
          </w:p>
        </w:tc>
        <w:tc>
          <w:tcPr>
            <w:tcW w:w="5954" w:type="dxa"/>
          </w:tcPr>
          <w:p w14:paraId="2720DF2E" w14:textId="55DC3277" w:rsidR="00452F33" w:rsidRPr="000661A5" w:rsidRDefault="00452F33" w:rsidP="00E60153">
            <w:pPr>
              <w:widowControl w:val="0"/>
              <w:spacing w:line="320" w:lineRule="exact"/>
              <w:jc w:val="center"/>
              <w:rPr>
                <w:rFonts w:asciiTheme="majorHAnsi" w:hAnsiTheme="majorHAnsi" w:cstheme="majorHAnsi"/>
                <w:b/>
                <w:sz w:val="26"/>
                <w:szCs w:val="26"/>
                <w:lang w:val="pt-BR"/>
              </w:rPr>
            </w:pPr>
            <w:r w:rsidRPr="000661A5">
              <w:rPr>
                <w:rFonts w:asciiTheme="majorHAnsi" w:hAnsiTheme="majorHAnsi" w:cstheme="majorHAnsi"/>
                <w:i/>
                <w:iCs/>
                <w:sz w:val="28"/>
                <w:szCs w:val="28"/>
                <w:lang w:val="pt-BR"/>
              </w:rPr>
              <w:t xml:space="preserve">Hà Nội, ngày </w:t>
            </w:r>
            <w:r w:rsidR="00087F6E">
              <w:rPr>
                <w:rFonts w:asciiTheme="majorHAnsi" w:hAnsiTheme="majorHAnsi" w:cstheme="majorHAnsi"/>
                <w:i/>
                <w:iCs/>
                <w:sz w:val="28"/>
                <w:szCs w:val="28"/>
                <w:lang w:val="pt-BR"/>
              </w:rPr>
              <w:t>1</w:t>
            </w:r>
            <w:r w:rsidR="00764DCD">
              <w:rPr>
                <w:rFonts w:asciiTheme="majorHAnsi" w:hAnsiTheme="majorHAnsi" w:cstheme="majorHAnsi"/>
                <w:i/>
                <w:iCs/>
                <w:sz w:val="28"/>
                <w:szCs w:val="28"/>
                <w:lang w:val="pt-BR"/>
              </w:rPr>
              <w:t>7</w:t>
            </w:r>
            <w:r w:rsidRPr="000661A5">
              <w:rPr>
                <w:rFonts w:asciiTheme="majorHAnsi" w:hAnsiTheme="majorHAnsi" w:cstheme="majorHAnsi"/>
                <w:i/>
                <w:iCs/>
                <w:sz w:val="28"/>
                <w:szCs w:val="28"/>
                <w:lang w:val="pt-BR"/>
              </w:rPr>
              <w:t xml:space="preserve"> tháng </w:t>
            </w:r>
            <w:r w:rsidR="005D3DEB">
              <w:rPr>
                <w:rFonts w:asciiTheme="majorHAnsi" w:hAnsiTheme="majorHAnsi" w:cstheme="majorHAnsi"/>
                <w:i/>
                <w:iCs/>
                <w:sz w:val="28"/>
                <w:szCs w:val="28"/>
                <w:lang w:val="pt-BR"/>
              </w:rPr>
              <w:t>1</w:t>
            </w:r>
            <w:r w:rsidR="00087F6E">
              <w:rPr>
                <w:rFonts w:asciiTheme="majorHAnsi" w:hAnsiTheme="majorHAnsi" w:cstheme="majorHAnsi"/>
                <w:i/>
                <w:iCs/>
                <w:sz w:val="28"/>
                <w:szCs w:val="28"/>
                <w:lang w:val="pt-BR"/>
              </w:rPr>
              <w:t>1</w:t>
            </w:r>
            <w:r w:rsidRPr="000661A5">
              <w:rPr>
                <w:rFonts w:asciiTheme="majorHAnsi" w:hAnsiTheme="majorHAnsi" w:cstheme="majorHAnsi"/>
                <w:i/>
                <w:iCs/>
                <w:sz w:val="28"/>
                <w:szCs w:val="28"/>
                <w:lang w:val="pt-BR"/>
              </w:rPr>
              <w:t xml:space="preserve"> năm 20</w:t>
            </w:r>
            <w:r w:rsidR="008F2509" w:rsidRPr="000661A5">
              <w:rPr>
                <w:rFonts w:asciiTheme="majorHAnsi" w:hAnsiTheme="majorHAnsi" w:cstheme="majorHAnsi"/>
                <w:i/>
                <w:iCs/>
                <w:sz w:val="28"/>
                <w:szCs w:val="28"/>
                <w:lang w:val="pt-BR"/>
              </w:rPr>
              <w:t>2</w:t>
            </w:r>
            <w:r w:rsidR="001E0DB6" w:rsidRPr="000661A5">
              <w:rPr>
                <w:rFonts w:asciiTheme="majorHAnsi" w:hAnsiTheme="majorHAnsi" w:cstheme="majorHAnsi"/>
                <w:i/>
                <w:iCs/>
                <w:sz w:val="28"/>
                <w:szCs w:val="28"/>
                <w:lang w:val="pt-BR"/>
              </w:rPr>
              <w:t>1</w:t>
            </w:r>
          </w:p>
        </w:tc>
      </w:tr>
    </w:tbl>
    <w:p w14:paraId="19D75A1A" w14:textId="1EED0E0F" w:rsidR="00F330F4" w:rsidRPr="000661A5" w:rsidRDefault="00F330F4" w:rsidP="00E60153">
      <w:pPr>
        <w:widowControl w:val="0"/>
        <w:spacing w:after="0" w:line="320" w:lineRule="exact"/>
        <w:jc w:val="center"/>
        <w:rPr>
          <w:rFonts w:asciiTheme="majorHAnsi" w:hAnsiTheme="majorHAnsi" w:cstheme="majorHAnsi"/>
          <w:b/>
          <w:sz w:val="28"/>
          <w:szCs w:val="28"/>
          <w:lang w:val="pt-BR"/>
        </w:rPr>
      </w:pPr>
    </w:p>
    <w:p w14:paraId="484A0C36" w14:textId="5EFDE09F" w:rsidR="00452F33" w:rsidRPr="000661A5" w:rsidRDefault="00452F33" w:rsidP="008C0760">
      <w:pPr>
        <w:widowControl w:val="0"/>
        <w:spacing w:before="480" w:after="0" w:line="320" w:lineRule="exact"/>
        <w:jc w:val="center"/>
        <w:rPr>
          <w:rFonts w:asciiTheme="majorHAnsi" w:hAnsiTheme="majorHAnsi" w:cstheme="majorHAnsi"/>
          <w:b/>
          <w:sz w:val="28"/>
          <w:szCs w:val="28"/>
          <w:lang w:val="en-US"/>
        </w:rPr>
      </w:pPr>
      <w:r w:rsidRPr="000661A5">
        <w:rPr>
          <w:rFonts w:asciiTheme="majorHAnsi" w:hAnsiTheme="majorHAnsi" w:cstheme="majorHAnsi"/>
          <w:b/>
          <w:sz w:val="28"/>
          <w:szCs w:val="28"/>
          <w:lang w:val="pt-BR"/>
        </w:rPr>
        <w:t>THÔNG TƯ</w:t>
      </w:r>
      <w:bookmarkEnd w:id="0"/>
    </w:p>
    <w:p w14:paraId="5BC35D57" w14:textId="53B04D7B" w:rsidR="00452F33" w:rsidRPr="000661A5" w:rsidRDefault="00BA1A39" w:rsidP="00E60153">
      <w:pPr>
        <w:widowControl w:val="0"/>
        <w:spacing w:after="0" w:line="320" w:lineRule="exact"/>
        <w:jc w:val="center"/>
        <w:rPr>
          <w:rFonts w:asciiTheme="majorHAnsi" w:hAnsiTheme="majorHAnsi" w:cstheme="majorHAnsi"/>
          <w:b/>
          <w:sz w:val="28"/>
          <w:szCs w:val="28"/>
          <w:lang w:val="pt-BR"/>
        </w:rPr>
      </w:pPr>
      <w:bookmarkStart w:id="1" w:name="loai_2_name"/>
      <w:r w:rsidRPr="000661A5">
        <w:rPr>
          <w:rFonts w:asciiTheme="majorHAnsi" w:hAnsiTheme="majorHAnsi" w:cstheme="majorHAnsi"/>
          <w:b/>
          <w:sz w:val="28"/>
          <w:szCs w:val="28"/>
          <w:lang w:val="pt-BR"/>
        </w:rPr>
        <w:t xml:space="preserve">Quy </w:t>
      </w:r>
      <w:bookmarkEnd w:id="1"/>
      <w:r w:rsidR="00764DCD" w:rsidRPr="00764DCD">
        <w:rPr>
          <w:rFonts w:asciiTheme="majorHAnsi" w:hAnsiTheme="majorHAnsi" w:cstheme="majorHAnsi"/>
          <w:b/>
          <w:sz w:val="28"/>
          <w:szCs w:val="28"/>
          <w:lang w:val="pt-BR"/>
        </w:rPr>
        <w:t>định biện pháp thi hành một số điều của Nghị định số 13/2019/NĐ-CP ngày 01 tháng 02 năm 2019 của Chính phủ về doanh nghiệp khoa học và công nghệ</w:t>
      </w:r>
    </w:p>
    <w:p w14:paraId="31AC023F" w14:textId="3629D3DB" w:rsidR="006D0E0B" w:rsidRPr="00764DCD" w:rsidRDefault="00764DCD" w:rsidP="00764DCD">
      <w:pPr>
        <w:widowControl w:val="0"/>
        <w:spacing w:before="120" w:after="120" w:line="320" w:lineRule="exact"/>
        <w:jc w:val="center"/>
        <w:rPr>
          <w:rFonts w:asciiTheme="majorHAnsi" w:hAnsiTheme="majorHAnsi" w:cstheme="majorHAnsi"/>
          <w:bCs/>
          <w:sz w:val="28"/>
          <w:szCs w:val="28"/>
          <w:lang w:val="en-US"/>
        </w:rPr>
      </w:pPr>
      <w:r w:rsidRPr="00764DCD">
        <w:rPr>
          <w:rFonts w:asciiTheme="majorHAnsi" w:hAnsiTheme="majorHAnsi" w:cstheme="majorHAnsi"/>
          <w:bCs/>
          <w:sz w:val="28"/>
          <w:szCs w:val="28"/>
          <w:lang w:val="en-US"/>
        </w:rPr>
        <w:t>_____________</w:t>
      </w:r>
    </w:p>
    <w:p w14:paraId="379362F7" w14:textId="208F4754" w:rsidR="00764DCD" w:rsidRPr="00764DCD" w:rsidRDefault="00764DCD" w:rsidP="00764DCD">
      <w:pPr>
        <w:pStyle w:val="NormalWeb"/>
        <w:shd w:val="clear" w:color="auto" w:fill="FFFFFF"/>
        <w:spacing w:before="0" w:beforeAutospacing="0" w:after="0" w:afterAutospacing="0" w:line="234" w:lineRule="atLeast"/>
        <w:ind w:firstLine="709"/>
        <w:jc w:val="both"/>
        <w:rPr>
          <w:color w:val="000000"/>
          <w:sz w:val="28"/>
          <w:szCs w:val="28"/>
        </w:rPr>
      </w:pPr>
      <w:r w:rsidRPr="00764DCD">
        <w:rPr>
          <w:i/>
          <w:iCs/>
          <w:color w:val="000000"/>
          <w:sz w:val="28"/>
          <w:szCs w:val="28"/>
        </w:rPr>
        <w:t>Căn cứ Nghị định số 95/2017/NĐ-CP ngày 16 tháng 8 năm 2017 của Chính phủ quy định về chức năng, nhiệm vụ, quyền hạn và cơ cấu tổ chức của Bộ Khoa học và Công nghệ;</w:t>
      </w:r>
    </w:p>
    <w:p w14:paraId="2C487DB7" w14:textId="07EB05E0" w:rsidR="00764DCD" w:rsidRPr="00764DCD" w:rsidRDefault="00764DCD" w:rsidP="00764DCD">
      <w:pPr>
        <w:pStyle w:val="NormalWeb"/>
        <w:shd w:val="clear" w:color="auto" w:fill="FFFFFF"/>
        <w:spacing w:before="0" w:beforeAutospacing="0" w:after="0" w:afterAutospacing="0" w:line="234" w:lineRule="atLeast"/>
        <w:ind w:firstLine="709"/>
        <w:jc w:val="both"/>
        <w:rPr>
          <w:color w:val="000000"/>
          <w:sz w:val="28"/>
          <w:szCs w:val="28"/>
        </w:rPr>
      </w:pPr>
      <w:r w:rsidRPr="00764DCD">
        <w:rPr>
          <w:i/>
          <w:iCs/>
          <w:color w:val="000000"/>
          <w:sz w:val="28"/>
          <w:szCs w:val="28"/>
        </w:rPr>
        <w:t>Căn cứ Nghị định số 13/2019/NĐ-CP ngày 01 tháng 02 năm 2019 của Chính phủ về doanh nghiệp khoa học và công nghệ;</w:t>
      </w:r>
    </w:p>
    <w:p w14:paraId="740BA31A" w14:textId="77777777" w:rsidR="00764DCD" w:rsidRPr="00764DCD" w:rsidRDefault="00764DCD" w:rsidP="00764DCD">
      <w:pPr>
        <w:pStyle w:val="NormalWeb"/>
        <w:shd w:val="clear" w:color="auto" w:fill="FFFFFF"/>
        <w:spacing w:before="120" w:beforeAutospacing="0" w:after="120" w:afterAutospacing="0" w:line="234" w:lineRule="atLeast"/>
        <w:ind w:firstLine="709"/>
        <w:jc w:val="both"/>
        <w:rPr>
          <w:color w:val="000000"/>
          <w:sz w:val="28"/>
          <w:szCs w:val="28"/>
        </w:rPr>
      </w:pPr>
      <w:r w:rsidRPr="00764DCD">
        <w:rPr>
          <w:i/>
          <w:iCs/>
          <w:color w:val="000000"/>
          <w:sz w:val="28"/>
          <w:szCs w:val="28"/>
        </w:rPr>
        <w:t>Theo đề nghị của Cục trưởng Cục Phát triển thị trường và doanh nghiệp khoa học và công nghệ và Vụ trưởng Vụ Pháp chế;</w:t>
      </w:r>
    </w:p>
    <w:p w14:paraId="7D7D238A" w14:textId="55239B5B" w:rsidR="00764DCD" w:rsidRDefault="00764DCD" w:rsidP="00764DCD">
      <w:pPr>
        <w:pStyle w:val="NormalWeb"/>
        <w:shd w:val="clear" w:color="auto" w:fill="FFFFFF"/>
        <w:spacing w:before="0" w:beforeAutospacing="0" w:after="0" w:afterAutospacing="0" w:line="234" w:lineRule="atLeast"/>
        <w:ind w:firstLine="709"/>
        <w:jc w:val="both"/>
        <w:rPr>
          <w:i/>
          <w:iCs/>
          <w:color w:val="000000"/>
          <w:sz w:val="28"/>
          <w:szCs w:val="28"/>
        </w:rPr>
      </w:pPr>
      <w:r w:rsidRPr="00764DCD">
        <w:rPr>
          <w:i/>
          <w:iCs/>
          <w:color w:val="000000"/>
          <w:sz w:val="28"/>
          <w:szCs w:val="28"/>
        </w:rPr>
        <w:t>Bộ trưởng Bộ Khoa học và Công nghệ ban hành Thông tư quy định biện pháp thi hành một số điều của Nghị định số 13/2019/NĐ-CP ngày 01 tháng 02 năm 2019 của Chính phủ về doanh nghiệp khoa học và công nghệ.</w:t>
      </w:r>
    </w:p>
    <w:p w14:paraId="520BCD3F" w14:textId="77777777" w:rsidR="00764DCD" w:rsidRPr="00764DCD" w:rsidRDefault="00764DCD" w:rsidP="00764DCD">
      <w:pPr>
        <w:pStyle w:val="NormalWeb"/>
        <w:shd w:val="clear" w:color="auto" w:fill="FFFFFF"/>
        <w:spacing w:before="0" w:beforeAutospacing="0" w:after="0" w:afterAutospacing="0" w:line="234" w:lineRule="atLeast"/>
        <w:ind w:firstLine="709"/>
        <w:jc w:val="both"/>
        <w:rPr>
          <w:color w:val="000000"/>
          <w:sz w:val="28"/>
          <w:szCs w:val="28"/>
        </w:rPr>
      </w:pPr>
    </w:p>
    <w:p w14:paraId="44C95227"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2" w:name="dieu_1"/>
      <w:r w:rsidRPr="00764DCD">
        <w:rPr>
          <w:b/>
          <w:bCs/>
          <w:color w:val="000000"/>
          <w:spacing w:val="-6"/>
          <w:sz w:val="28"/>
          <w:szCs w:val="28"/>
          <w:shd w:val="clear" w:color="auto" w:fill="FFFFFF"/>
        </w:rPr>
        <w:t>Điều 1. Phạm vi điều chỉnh</w:t>
      </w:r>
      <w:bookmarkEnd w:id="2"/>
    </w:p>
    <w:p w14:paraId="7A618718" w14:textId="6C7EBCF3"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Thông tư này quy định biện pháp thi hành một số điều của Nghị định số 13/2019/NĐ-CP ngày 01 tháng 02 năm 2019 của Chính phủ về doanh nghiệp khoa học và công nghệ (sau đây viết tắt là Nghị định số 13/2019/NĐ-CP), bao gồm:</w:t>
      </w:r>
    </w:p>
    <w:p w14:paraId="0A889743"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1. Kết quả khoa học và công nghệ quy định tại </w:t>
      </w:r>
      <w:bookmarkStart w:id="3" w:name="dc_1"/>
      <w:r w:rsidRPr="00764DCD">
        <w:rPr>
          <w:color w:val="000000"/>
          <w:spacing w:val="-6"/>
          <w:sz w:val="28"/>
          <w:szCs w:val="28"/>
          <w:shd w:val="clear" w:color="auto" w:fill="FFFFFF"/>
        </w:rPr>
        <w:t>điểm c, d và đ khoản 2 Điều 3 Nghị định số 13/2019/NĐ-CP</w:t>
      </w:r>
      <w:bookmarkEnd w:id="3"/>
      <w:r w:rsidRPr="00764DCD">
        <w:rPr>
          <w:color w:val="000000"/>
          <w:spacing w:val="-6"/>
          <w:sz w:val="28"/>
          <w:szCs w:val="28"/>
          <w:shd w:val="clear" w:color="auto" w:fill="FFFFFF"/>
        </w:rPr>
        <w:t>.</w:t>
      </w:r>
    </w:p>
    <w:p w14:paraId="351F9C6A"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Điều kiện về tỷ lệ doanh thu quy định tại </w:t>
      </w:r>
      <w:bookmarkStart w:id="4" w:name="dc_2"/>
      <w:r w:rsidRPr="00764DCD">
        <w:rPr>
          <w:color w:val="000000"/>
          <w:spacing w:val="-6"/>
          <w:sz w:val="28"/>
          <w:szCs w:val="28"/>
          <w:shd w:val="clear" w:color="auto" w:fill="FFFFFF"/>
        </w:rPr>
        <w:t>điểm c khoản 1 Điều 6 Nghị định số 13/2019/NĐ-CP</w:t>
      </w:r>
      <w:bookmarkEnd w:id="4"/>
      <w:r w:rsidRPr="00764DCD">
        <w:rPr>
          <w:color w:val="000000"/>
          <w:spacing w:val="-6"/>
          <w:sz w:val="28"/>
          <w:szCs w:val="28"/>
          <w:shd w:val="clear" w:color="auto" w:fill="FFFFFF"/>
        </w:rPr>
        <w:t>.</w:t>
      </w:r>
    </w:p>
    <w:p w14:paraId="18C0556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3. Cấp giấy chứng nhận doanh nghiệp khoa học và công nghệ đối với trường hợp doanh nghiệp có chi nhánh, cơ sở sản xuất kinh doanh trên địa bàn của nhiều tỉnh, thành phố trực thuộc trung ương quy định tại </w:t>
      </w:r>
      <w:bookmarkStart w:id="5" w:name="dc_3"/>
      <w:r w:rsidRPr="00764DCD">
        <w:rPr>
          <w:color w:val="000000"/>
          <w:spacing w:val="-6"/>
          <w:sz w:val="28"/>
          <w:szCs w:val="28"/>
          <w:shd w:val="clear" w:color="auto" w:fill="FFFFFF"/>
        </w:rPr>
        <w:t>điểm d khoản 2 Điều 5 Nghị định số 13/2019/NĐ-CP</w:t>
      </w:r>
      <w:bookmarkEnd w:id="5"/>
      <w:r w:rsidRPr="00764DCD">
        <w:rPr>
          <w:color w:val="000000"/>
          <w:spacing w:val="-6"/>
          <w:sz w:val="28"/>
          <w:szCs w:val="28"/>
          <w:shd w:val="clear" w:color="auto" w:fill="FFFFFF"/>
        </w:rPr>
        <w:t>.</w:t>
      </w:r>
    </w:p>
    <w:p w14:paraId="2598B0BA"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4. Thu hồi, hủy bỏ hiệu lực Giấy chứng nhận doanh nghiệp khoa học và công nghệ quy định tại </w:t>
      </w:r>
      <w:bookmarkStart w:id="6" w:name="dc_4"/>
      <w:r w:rsidRPr="00764DCD">
        <w:rPr>
          <w:color w:val="000000"/>
          <w:spacing w:val="-6"/>
          <w:sz w:val="28"/>
          <w:szCs w:val="28"/>
          <w:shd w:val="clear" w:color="auto" w:fill="FFFFFF"/>
        </w:rPr>
        <w:t>Điều 10 Nghị định số 13/2019/NĐ-CP</w:t>
      </w:r>
      <w:bookmarkEnd w:id="6"/>
      <w:r w:rsidRPr="00764DCD">
        <w:rPr>
          <w:color w:val="000000"/>
          <w:spacing w:val="-6"/>
          <w:sz w:val="28"/>
          <w:szCs w:val="28"/>
          <w:shd w:val="clear" w:color="auto" w:fill="FFFFFF"/>
        </w:rPr>
        <w:t>.</w:t>
      </w:r>
    </w:p>
    <w:p w14:paraId="6DC0896A"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5. Tiêu chí xác định dịch vụ mới có ứng dụng kết quả khoa học và công nghệ trong lĩnh vực công nghệ thông tin quy định tại </w:t>
      </w:r>
      <w:bookmarkStart w:id="7" w:name="dc_5"/>
      <w:r w:rsidRPr="00764DCD">
        <w:rPr>
          <w:color w:val="000000"/>
          <w:spacing w:val="-6"/>
          <w:sz w:val="28"/>
          <w:szCs w:val="28"/>
          <w:shd w:val="clear" w:color="auto" w:fill="FFFFFF"/>
        </w:rPr>
        <w:t>khoản 2 Điều 12 Nghị định số 13/2019/NĐ-CP</w:t>
      </w:r>
      <w:bookmarkEnd w:id="7"/>
      <w:r w:rsidRPr="00764DCD">
        <w:rPr>
          <w:color w:val="000000"/>
          <w:spacing w:val="-6"/>
          <w:sz w:val="28"/>
          <w:szCs w:val="28"/>
          <w:shd w:val="clear" w:color="auto" w:fill="FFFFFF"/>
        </w:rPr>
        <w:t>.</w:t>
      </w:r>
    </w:p>
    <w:p w14:paraId="0E648A0B"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6. Trách nhiệm cung cấp thông tin của doanh nghiệp khoa học và công nghệ quy định tại </w:t>
      </w:r>
      <w:bookmarkStart w:id="8" w:name="dc_6"/>
      <w:r w:rsidRPr="00764DCD">
        <w:rPr>
          <w:color w:val="000000"/>
          <w:spacing w:val="-6"/>
          <w:sz w:val="28"/>
          <w:szCs w:val="28"/>
          <w:shd w:val="clear" w:color="auto" w:fill="FFFFFF"/>
        </w:rPr>
        <w:t>Điều 18 Nghị định số 13/2019/NĐ-CP</w:t>
      </w:r>
      <w:bookmarkEnd w:id="8"/>
      <w:r w:rsidRPr="00764DCD">
        <w:rPr>
          <w:color w:val="000000"/>
          <w:spacing w:val="-6"/>
          <w:sz w:val="28"/>
          <w:szCs w:val="28"/>
          <w:shd w:val="clear" w:color="auto" w:fill="FFFFFF"/>
        </w:rPr>
        <w:t>.</w:t>
      </w:r>
    </w:p>
    <w:p w14:paraId="42107614"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9" w:name="dieu_2"/>
      <w:r w:rsidRPr="00764DCD">
        <w:rPr>
          <w:b/>
          <w:bCs/>
          <w:color w:val="000000"/>
          <w:spacing w:val="-6"/>
          <w:sz w:val="28"/>
          <w:szCs w:val="28"/>
          <w:shd w:val="clear" w:color="auto" w:fill="FFFFFF"/>
        </w:rPr>
        <w:lastRenderedPageBreak/>
        <w:t>Điều 2. Đối tượng áp dụng</w:t>
      </w:r>
      <w:bookmarkEnd w:id="9"/>
    </w:p>
    <w:p w14:paraId="0C8EABF2"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Thông tư này áp dụng với các đối tượng quy định tại </w:t>
      </w:r>
      <w:bookmarkStart w:id="10" w:name="dc_7"/>
      <w:r w:rsidRPr="00764DCD">
        <w:rPr>
          <w:color w:val="000000"/>
          <w:spacing w:val="-6"/>
          <w:sz w:val="28"/>
          <w:szCs w:val="28"/>
          <w:shd w:val="clear" w:color="auto" w:fill="FFFFFF"/>
        </w:rPr>
        <w:t>khoản 2 Điều 1 Nghị định số 13/2019/NĐ-CP</w:t>
      </w:r>
      <w:bookmarkEnd w:id="10"/>
      <w:r w:rsidRPr="00764DCD">
        <w:rPr>
          <w:color w:val="000000"/>
          <w:spacing w:val="-6"/>
          <w:sz w:val="28"/>
          <w:szCs w:val="28"/>
          <w:shd w:val="clear" w:color="auto" w:fill="FFFFFF"/>
        </w:rPr>
        <w:t>.</w:t>
      </w:r>
    </w:p>
    <w:p w14:paraId="58670BC0"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11" w:name="dieu_3"/>
      <w:r w:rsidRPr="00764DCD">
        <w:rPr>
          <w:b/>
          <w:bCs/>
          <w:color w:val="000000"/>
          <w:spacing w:val="-6"/>
          <w:sz w:val="28"/>
          <w:szCs w:val="28"/>
          <w:shd w:val="clear" w:color="auto" w:fill="FFFFFF"/>
        </w:rPr>
        <w:t>Điều 3. Kết quả khoa học và công nghệ được công nhận thông qua hình thức Giải thưởng khoa học và công nghệ</w:t>
      </w:r>
      <w:bookmarkEnd w:id="11"/>
    </w:p>
    <w:p w14:paraId="043A9E5E"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Các kết quả khoa học và công nghệ được cơ quan có thẩm quyền công nhận thông qua hình thức đạt giải thưởng về khoa học và công nghệ quy định tại </w:t>
      </w:r>
      <w:bookmarkStart w:id="12" w:name="dc_8"/>
      <w:r w:rsidRPr="00764DCD">
        <w:rPr>
          <w:color w:val="000000"/>
          <w:spacing w:val="-6"/>
          <w:sz w:val="28"/>
          <w:szCs w:val="28"/>
          <w:shd w:val="clear" w:color="auto" w:fill="FFFFFF"/>
        </w:rPr>
        <w:t>điểm c khoản 2 Điều 3 Nghị định số 13/2019/NĐ-CP</w:t>
      </w:r>
      <w:bookmarkEnd w:id="12"/>
      <w:r w:rsidRPr="00764DCD">
        <w:rPr>
          <w:color w:val="000000"/>
          <w:spacing w:val="-6"/>
          <w:sz w:val="28"/>
          <w:szCs w:val="28"/>
          <w:shd w:val="clear" w:color="auto" w:fill="FFFFFF"/>
        </w:rPr>
        <w:t> bao gồm:</w:t>
      </w:r>
    </w:p>
    <w:p w14:paraId="57DA38EA"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8"/>
          <w:sz w:val="28"/>
          <w:szCs w:val="28"/>
        </w:rPr>
      </w:pPr>
      <w:r w:rsidRPr="00764DCD">
        <w:rPr>
          <w:color w:val="000000"/>
          <w:spacing w:val="-8"/>
          <w:sz w:val="28"/>
          <w:szCs w:val="28"/>
          <w:shd w:val="clear" w:color="auto" w:fill="FFFFFF"/>
        </w:rPr>
        <w:t>1. Giải thưởng Hồ Chí Minh và Giải thưởng Nhà nước về khoa học và công nghệ;</w:t>
      </w:r>
    </w:p>
    <w:p w14:paraId="69C64EC2"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Giải thưởng Tạ Quang Bửu;</w:t>
      </w:r>
    </w:p>
    <w:p w14:paraId="77C85BF0"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3. Giải thưởng Trần Đại Nghĩa;</w:t>
      </w:r>
    </w:p>
    <w:p w14:paraId="5C7C02DE"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4. Giải thưởng Sáng tạo khoa học công nghệ Việt Nam;</w:t>
      </w:r>
    </w:p>
    <w:p w14:paraId="1C86E21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5. Giải thưởng Kovalevskaia;</w:t>
      </w:r>
    </w:p>
    <w:p w14:paraId="7D9BF486" w14:textId="520E741D" w:rsidR="00764DCD" w:rsidRPr="00764DCD" w:rsidRDefault="00764DCD" w:rsidP="00764DCD">
      <w:pPr>
        <w:pStyle w:val="NormalWeb"/>
        <w:shd w:val="clear" w:color="auto" w:fill="FFFFFF"/>
        <w:spacing w:before="60" w:beforeAutospacing="0" w:after="0" w:afterAutospacing="0"/>
        <w:ind w:firstLine="709"/>
        <w:jc w:val="both"/>
        <w:rPr>
          <w:color w:val="000000"/>
          <w:spacing w:val="-2"/>
          <w:sz w:val="28"/>
          <w:szCs w:val="28"/>
        </w:rPr>
      </w:pPr>
      <w:r w:rsidRPr="00764DCD">
        <w:rPr>
          <w:color w:val="000000"/>
          <w:spacing w:val="-2"/>
          <w:sz w:val="28"/>
          <w:szCs w:val="28"/>
          <w:shd w:val="clear" w:color="auto" w:fill="FFFFFF"/>
        </w:rPr>
        <w:t>6. Các giải thưởng khác về khoa học và công nghệ theo quy định tại Nghị định số 78/2014/NĐ-CP ngày 30 tháng 7 năm 2014 của Chính phủ về Giải thưởng Hồ Chí Minh, Giải thưởng nhà nước và các giải thưởng khác về khoa học và công nghệ, được sửa đổi, bổ sung bởi Nghị định số 60/2019/NĐ-CP ngày 05 tháng 7 năm 2019 của Chính phủ.</w:t>
      </w:r>
    </w:p>
    <w:p w14:paraId="6300C20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13" w:name="dieu_4"/>
      <w:r w:rsidRPr="00764DCD">
        <w:rPr>
          <w:b/>
          <w:bCs/>
          <w:color w:val="000000"/>
          <w:spacing w:val="-6"/>
          <w:sz w:val="28"/>
          <w:szCs w:val="28"/>
          <w:shd w:val="clear" w:color="auto" w:fill="FFFFFF"/>
        </w:rPr>
        <w:t>Điều 4. Các kết quả khoa học và công nghệ được cơ quan có thẩm quyền xác nhận, công nhận</w:t>
      </w:r>
      <w:bookmarkEnd w:id="13"/>
    </w:p>
    <w:p w14:paraId="2F203812"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8"/>
          <w:sz w:val="28"/>
          <w:szCs w:val="28"/>
        </w:rPr>
      </w:pPr>
      <w:r w:rsidRPr="00764DCD">
        <w:rPr>
          <w:color w:val="000000"/>
          <w:spacing w:val="-8"/>
          <w:sz w:val="28"/>
          <w:szCs w:val="28"/>
          <w:shd w:val="clear" w:color="auto" w:fill="FFFFFF"/>
        </w:rPr>
        <w:t>Các kết quả khoa học và công nghệ được cơ quan có thẩm quyền xác nhận, công nhận quy định tại </w:t>
      </w:r>
      <w:bookmarkStart w:id="14" w:name="dc_9"/>
      <w:r w:rsidRPr="00764DCD">
        <w:rPr>
          <w:color w:val="000000"/>
          <w:spacing w:val="-8"/>
          <w:sz w:val="28"/>
          <w:szCs w:val="28"/>
          <w:shd w:val="clear" w:color="auto" w:fill="FFFFFF"/>
        </w:rPr>
        <w:t>điểm d khoản 2 Điều 3 Nghị định số 13/2019/NĐ- CP</w:t>
      </w:r>
      <w:bookmarkEnd w:id="14"/>
      <w:r w:rsidRPr="00764DCD">
        <w:rPr>
          <w:color w:val="000000"/>
          <w:spacing w:val="-8"/>
          <w:sz w:val="28"/>
          <w:szCs w:val="28"/>
          <w:shd w:val="clear" w:color="auto" w:fill="FFFFFF"/>
        </w:rPr>
        <w:t> bao gồm:</w:t>
      </w:r>
    </w:p>
    <w:p w14:paraId="0213E6DB"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1. Kết quả khoa học và công nghệ tạo ra các sản phẩm được cơ quan có thẩm quyền cấp phép sản xuất, lưu hành tại Việt Nam, bao gồm:</w:t>
      </w:r>
    </w:p>
    <w:p w14:paraId="508C0AA4"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a) Giống cây trồng, phân bón, thuốc thú y, thuốc bảo vệ thực vật sản xuất tại Việt Nam được cấp Quyết định công nhận lưu hành giống cây trồng, Quyết định công nhận phân bón lưu hành, Giấy chứng nhận lưu hành thuốc thú y, Giấy chứng nhận đăng ký thuốc bảo vệ thực vật tại Việt Nam;</w:t>
      </w:r>
    </w:p>
    <w:p w14:paraId="2781206E"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b) Thuốc và nguyên liệu làm thuốc, trang thiết bị y tế sản xuất tại Việt Nam được cấp Giấy đăng ký lưu hành tại Việt Nam;</w:t>
      </w:r>
    </w:p>
    <w:p w14:paraId="1FC5E731"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c) Chế phẩm sinh học trong lĩnh vực môi trường sản xuất tại Việt Nam được cấp Giấy chứng nhận lưu hành tại Việt Nam.</w:t>
      </w:r>
    </w:p>
    <w:p w14:paraId="0643045E"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Kết quả thực hiện nhiệm vụ khoa học và công nghệ sử dụng ngân sách nhà nước được cơ quan nhà nước có thẩm quyền cấp Quyết định công nhận kết quả thực hiện nhiệm vụ khoa học và công nghệ sử dụng ngân sách nhà nước hoặc Giấy chứng nhận đăng ký kết quả thực hiện nhiệm vụ khoa học và công nghệ sử dụng ngân sách nhà nước.</w:t>
      </w:r>
    </w:p>
    <w:p w14:paraId="540B3B27"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2"/>
          <w:sz w:val="28"/>
          <w:szCs w:val="28"/>
        </w:rPr>
      </w:pPr>
      <w:r w:rsidRPr="00764DCD">
        <w:rPr>
          <w:color w:val="000000"/>
          <w:spacing w:val="2"/>
          <w:sz w:val="28"/>
          <w:szCs w:val="28"/>
          <w:shd w:val="clear" w:color="auto" w:fill="FFFFFF"/>
        </w:rPr>
        <w:t>3. Kết quả thực hiện nhiệm vụ khoa học và công nghệ không sử dụng ngân sách nhà nước được cơ quan nhà nước có thẩm quyền cấp Giấy xác nhận hoặc Giấy thẩm định kết quả thực hiện nhiệm vụ khoa học và công nghệ không sử dụng ngân sách nhà nước.</w:t>
      </w:r>
    </w:p>
    <w:p w14:paraId="4DE91910"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lastRenderedPageBreak/>
        <w:t>4. Các kết quả khoa học và công nghệ khác được các Bộ, cơ quan ngang Bộ theo ngành, lĩnh vực thuộc thẩm quyền quản lý hoặc Ủy ban nhân dân tỉnh, thành phố trực thuộc Trung ương (nơi kết quả khoa học và công nghệ được chuyển giao, ứng dụng) công nhận, xác nhận theo quy định của pháp luật.</w:t>
      </w:r>
    </w:p>
    <w:p w14:paraId="0273691C"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Trường hợp cần xác định các kết quả khoa học và công nghệ theo quy định tại khoản này, cơ quan chuyên môn về khoa học và công nghệ thuộc Ủy ban nhân dân tỉnh, thành phố trực thuộc Trung ương gửi văn bản đề nghị về Cục Phát triển thị trường và doanh nghiệp khoa học và công nghệ để hỗ trợ.</w:t>
      </w:r>
    </w:p>
    <w:p w14:paraId="20941909"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15" w:name="dieu_5"/>
      <w:r w:rsidRPr="00764DCD">
        <w:rPr>
          <w:b/>
          <w:bCs/>
          <w:color w:val="000000"/>
          <w:spacing w:val="-6"/>
          <w:sz w:val="28"/>
          <w:szCs w:val="28"/>
          <w:shd w:val="clear" w:color="auto" w:fill="FFFFFF"/>
        </w:rPr>
        <w:t>Điều 5. Kết quả khoa học và công nghệ là công nghệ nhận chuyển giao từ nước ngoài vào Việt Nam</w:t>
      </w:r>
      <w:bookmarkEnd w:id="15"/>
    </w:p>
    <w:p w14:paraId="6C913B2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1. Xác định kết quả khoa học và công nghệ là công nghệ nhận chuyển giao từ nước ngoài vào Việt Nam cần đáp ứng các tiêu chí sau:</w:t>
      </w:r>
    </w:p>
    <w:p w14:paraId="1A96F939"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a) Có Giấy chứng nhận đăng ký chuyển giao công nghệ;</w:t>
      </w:r>
    </w:p>
    <w:p w14:paraId="2CE3C012" w14:textId="2298547D"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b) Thuộc Danh mục công nghệ khuyến khích chuyển giao theo quy định tại </w:t>
      </w:r>
      <w:bookmarkStart w:id="16" w:name="dc_10"/>
      <w:r w:rsidRPr="00764DCD">
        <w:rPr>
          <w:color w:val="000000"/>
          <w:spacing w:val="-6"/>
          <w:sz w:val="28"/>
          <w:szCs w:val="28"/>
          <w:shd w:val="clear" w:color="auto" w:fill="FFFFFF"/>
        </w:rPr>
        <w:t>khoản 4 Điều 39 Luật Chuyển giao công nghệ</w:t>
      </w:r>
      <w:bookmarkEnd w:id="16"/>
      <w:r w:rsidRPr="00764DCD">
        <w:rPr>
          <w:color w:val="000000"/>
          <w:spacing w:val="-6"/>
          <w:sz w:val="28"/>
          <w:szCs w:val="28"/>
          <w:shd w:val="clear" w:color="auto" w:fill="FFFFFF"/>
        </w:rPr>
        <w:t> và </w:t>
      </w:r>
      <w:bookmarkStart w:id="17" w:name="bieumau_pl_1_nd_76_2018"/>
      <w:r w:rsidRPr="00764DCD">
        <w:rPr>
          <w:color w:val="000000"/>
          <w:spacing w:val="-6"/>
          <w:sz w:val="28"/>
          <w:szCs w:val="28"/>
          <w:shd w:val="clear" w:color="auto" w:fill="FFFFFF"/>
        </w:rPr>
        <w:t>Phụ lục I</w:t>
      </w:r>
      <w:bookmarkEnd w:id="17"/>
      <w:r w:rsidRPr="00764DCD">
        <w:rPr>
          <w:color w:val="000000"/>
          <w:spacing w:val="-6"/>
          <w:sz w:val="28"/>
          <w:szCs w:val="28"/>
          <w:shd w:val="clear" w:color="auto" w:fill="FFFFFF"/>
        </w:rPr>
        <w:t> của Nghị định số 76/2018/NĐ-CP ngày 15 tháng 5 năm 2018 của Chính phủ quy định chi tiết và hướng dẫn thi hành một số điều của Luật Chuyển giao công nghệ.</w:t>
      </w:r>
    </w:p>
    <w:p w14:paraId="384C4D81"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Doanh nghiệp nhận chuyển giao công nghệ từ nước ngoài vào Việt Nam có năng lực ứng dụng kết quả khoa học và công nghệ được chuyển giao (trình bày chi tiết tại mục 6 </w:t>
      </w:r>
      <w:bookmarkStart w:id="18" w:name="bieumau_ms_02_nd_13_2019"/>
      <w:r w:rsidRPr="00764DCD">
        <w:rPr>
          <w:color w:val="000000"/>
          <w:spacing w:val="-6"/>
          <w:sz w:val="28"/>
          <w:szCs w:val="28"/>
          <w:shd w:val="clear" w:color="auto" w:fill="FFFFFF"/>
        </w:rPr>
        <w:t>mẫu số 02</w:t>
      </w:r>
      <w:bookmarkEnd w:id="18"/>
      <w:r w:rsidRPr="00764DCD">
        <w:rPr>
          <w:color w:val="000000"/>
          <w:spacing w:val="-6"/>
          <w:sz w:val="28"/>
          <w:szCs w:val="28"/>
          <w:shd w:val="clear" w:color="auto" w:fill="FFFFFF"/>
        </w:rPr>
        <w:t> Nghị định số 13/2019/NĐ-CP).</w:t>
      </w:r>
    </w:p>
    <w:p w14:paraId="624614F8"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19" w:name="dieu_6"/>
      <w:r w:rsidRPr="00764DCD">
        <w:rPr>
          <w:b/>
          <w:bCs/>
          <w:color w:val="000000"/>
          <w:spacing w:val="-6"/>
          <w:sz w:val="28"/>
          <w:szCs w:val="28"/>
          <w:shd w:val="clear" w:color="auto" w:fill="FFFFFF"/>
        </w:rPr>
        <w:t>Điều 6. Điều kiện về tỷ lệ doanh thu cấp Giấy chứng nhận doanh nghiệp khoa học và công nghệ</w:t>
      </w:r>
      <w:bookmarkEnd w:id="19"/>
    </w:p>
    <w:p w14:paraId="359F566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Doanh nghiệp có doanh thu từ việc sản xuất, kinh doanh sản phẩm hình thành từ kết quả khoa học và công nghệ đáp ứng điều kiện tỷ lệ doanh thu đạt tối thiểu 30% trên tổng doanh thu của 01 (một) trong 03 (ba) năm liền kề trước thời điểm nộp hồ sơ đề nghị chứng nhận doanh nghiệp khoa học và công nghệ.</w:t>
      </w:r>
    </w:p>
    <w:p w14:paraId="3CC23489"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20" w:name="dieu_7"/>
      <w:r w:rsidRPr="00764DCD">
        <w:rPr>
          <w:b/>
          <w:bCs/>
          <w:color w:val="000000"/>
          <w:spacing w:val="-6"/>
          <w:sz w:val="28"/>
          <w:szCs w:val="28"/>
          <w:shd w:val="clear" w:color="auto" w:fill="FFFFFF"/>
        </w:rPr>
        <w:t>Điều 7. Chứng nhận doanh nghiệp khoa học và công nghệ đối với doanh nghiệp có chi nhánh sản xuất kinh doanh trên địa bàn của nhiều tỉnh, thành phố trực thuộc trung ương</w:t>
      </w:r>
      <w:bookmarkEnd w:id="20"/>
    </w:p>
    <w:p w14:paraId="01664F6E"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1. Cơ quan cấp Giấy chứng nhận doanh nghiệp khoa học và công nghệ ghi đầy đủ thông tin của các chi nhánh sản xuất, kinh doanh sản phẩm hình thành từ kết quả khoa học và công nghệ của doanh nghiệp trên Giấy chứng nhận doanh nghiệp khoa học và công nghệ.</w:t>
      </w:r>
    </w:p>
    <w:p w14:paraId="4D01D267"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Chi nhánh sản xuất, kinh doanh sản phẩm hình thành từ kết quả khoa học và công nghệ được ghi trên Giấy chứng nhận được thụ hưởng các chính sách ưu đãi, hỗ trợ của Nhà nước áp dụng như đối với doanh nghiệp khoa học và công nghệ (về các ưu đãi, hỗ trợ và điều kiện hưởng ưu đãi, hỗ trợ).</w:t>
      </w:r>
    </w:p>
    <w:p w14:paraId="59F19009"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3. Việc xác định doanh nghiệp khoa học và công nghệ đối với chi nhánh hạch toán độc lập căn cứ báo cáo tài chính hoặc tờ khai quyết toán thuế của chi nhánh theo quy định của pháp luật.</w:t>
      </w:r>
    </w:p>
    <w:p w14:paraId="232F8DAD"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21" w:name="dieu_8"/>
      <w:r w:rsidRPr="00764DCD">
        <w:rPr>
          <w:b/>
          <w:bCs/>
          <w:color w:val="000000"/>
          <w:spacing w:val="-6"/>
          <w:sz w:val="28"/>
          <w:szCs w:val="28"/>
          <w:shd w:val="clear" w:color="auto" w:fill="FFFFFF"/>
        </w:rPr>
        <w:t>Điều 8. Thu hồi Giấy chứng nhận doanh nghiệp khoa học và công nghệ</w:t>
      </w:r>
      <w:bookmarkEnd w:id="21"/>
    </w:p>
    <w:p w14:paraId="725AE89B"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lastRenderedPageBreak/>
        <w:t>1. Các trường hợp thu hồi Giấy chứng nhận doanh nghiệp khoa học và công nghệ quy định tại </w:t>
      </w:r>
      <w:bookmarkStart w:id="22" w:name="dc_11"/>
      <w:r w:rsidRPr="00764DCD">
        <w:rPr>
          <w:color w:val="000000"/>
          <w:spacing w:val="-6"/>
          <w:sz w:val="28"/>
          <w:szCs w:val="28"/>
          <w:shd w:val="clear" w:color="auto" w:fill="FFFFFF"/>
        </w:rPr>
        <w:t>khoản 1 Điều 10 Nghị định số 13/2019/NĐ-CP</w:t>
      </w:r>
      <w:bookmarkEnd w:id="22"/>
      <w:r w:rsidRPr="00764DCD">
        <w:rPr>
          <w:color w:val="000000"/>
          <w:spacing w:val="-6"/>
          <w:sz w:val="28"/>
          <w:szCs w:val="28"/>
          <w:shd w:val="clear" w:color="auto" w:fill="FFFFFF"/>
        </w:rPr>
        <w:t>.</w:t>
      </w:r>
    </w:p>
    <w:p w14:paraId="249A7C72"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Trường hợp thu hồi do không duy trì được tỷ lệ doanh thu quy định tại </w:t>
      </w:r>
      <w:bookmarkStart w:id="23" w:name="dc_12"/>
      <w:r w:rsidRPr="00764DCD">
        <w:rPr>
          <w:color w:val="000000"/>
          <w:spacing w:val="-6"/>
          <w:sz w:val="28"/>
          <w:szCs w:val="28"/>
          <w:shd w:val="clear" w:color="auto" w:fill="FFFFFF"/>
        </w:rPr>
        <w:t>điểm b khoản 1 Điều 10 Nghị định số 13/2019/NĐ-CP</w:t>
      </w:r>
      <w:bookmarkEnd w:id="23"/>
      <w:r w:rsidRPr="00764DCD">
        <w:rPr>
          <w:color w:val="000000"/>
          <w:spacing w:val="-6"/>
          <w:sz w:val="28"/>
          <w:szCs w:val="28"/>
          <w:shd w:val="clear" w:color="auto" w:fill="FFFFFF"/>
        </w:rPr>
        <w:t>:</w:t>
      </w:r>
    </w:p>
    <w:p w14:paraId="55A4D7E3" w14:textId="6EFE386E"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a) Chỉ áp dụng với các doanh nghiệp khoa học và công nghệ được cấp Giấy chứng nhận từ thời điểm Nghị định số 13/2019/NĐ-CP có hiệu lực thi hành.</w:t>
      </w:r>
    </w:p>
    <w:p w14:paraId="2FFAFB54"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b) Thời gian 05 (năm) năm liên tiếp để xem xét việc thu hồi giấy chứng nhận doanh nghiệp khoa học và công nghệ được tính như sau:</w:t>
      </w:r>
    </w:p>
    <w:p w14:paraId="4A889384"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 Từ năm đầu tiên được cấp Giấy chứng nhận doanh nghiệp khoa học và công nghệ đối với doanh nghiệp thành lập trên 05 (năm) năm;</w:t>
      </w:r>
    </w:p>
    <w:p w14:paraId="74900C29"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 Từ năm thứ sáu kể từ khi được cấp Giấy chứng nhận doanh nghiệp khoa học và công nghệ đối với doanh nghiệp mới thành lập dưới 05 (năm) năm.</w:t>
      </w:r>
    </w:p>
    <w:p w14:paraId="552F7F99"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3. Trường hợp thu hồi do không thực hiện chế độ báo cáo trong 03 (ba) năm liên tiếp quy định tại </w:t>
      </w:r>
      <w:bookmarkStart w:id="24" w:name="dc_13"/>
      <w:r w:rsidRPr="00764DCD">
        <w:rPr>
          <w:color w:val="000000"/>
          <w:spacing w:val="-6"/>
          <w:sz w:val="28"/>
          <w:szCs w:val="28"/>
          <w:shd w:val="clear" w:color="auto" w:fill="FFFFFF"/>
        </w:rPr>
        <w:t>điểm c khoản 1 Điều 10 Nghị định số 13/2019/NĐ-CP</w:t>
      </w:r>
      <w:bookmarkEnd w:id="24"/>
      <w:r w:rsidRPr="00764DCD">
        <w:rPr>
          <w:color w:val="000000"/>
          <w:spacing w:val="-6"/>
          <w:sz w:val="28"/>
          <w:szCs w:val="28"/>
          <w:shd w:val="clear" w:color="auto" w:fill="FFFFFF"/>
        </w:rPr>
        <w:t>:</w:t>
      </w:r>
    </w:p>
    <w:p w14:paraId="1A3EF06B"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a) Cơ quan chuyên môn về khoa học và công nghệ thuộc Ủy ban nhân dân tỉnh, thành phố trực thuộc Trung ương quyết định thu hồi Giấy chứng nhận doanh nghiệp khoa học và công nghệ;</w:t>
      </w:r>
    </w:p>
    <w:p w14:paraId="7B99F88F"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b) Đối với trường hợp thuộc thẩm quyền thu hồi của Cục Phát triển thị trường và doanh nghiệp khoa học và công nghệ, cơ quan chuyên môn về khoa học và công nghệ thuộc Ủy ban nhân dân tỉnh, thành phố trực thuộc Trung ương đề nghị Cục Phát triển thị trường và doanh nghiệp khoa học và công nghệ thu hồi Giấy chứng nhận doanh nghiệp khoa học và công nghệ.</w:t>
      </w:r>
    </w:p>
    <w:p w14:paraId="5CE16EEC"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4. Cơ quan thực hiện việc thu hồi Giấy chứng nhận doanh nghiệp khoa học và công nghệ có trách nhiệm thông báo việc thu hồi và đăng thông tin theo quy định tại </w:t>
      </w:r>
      <w:bookmarkStart w:id="25" w:name="dc_14"/>
      <w:r w:rsidRPr="00764DCD">
        <w:rPr>
          <w:color w:val="000000"/>
          <w:spacing w:val="-6"/>
          <w:sz w:val="28"/>
          <w:szCs w:val="28"/>
          <w:shd w:val="clear" w:color="auto" w:fill="FFFFFF"/>
        </w:rPr>
        <w:t>khoản 3 Điều 10 Nghị định số 13/2019/NĐ-CP</w:t>
      </w:r>
      <w:bookmarkEnd w:id="25"/>
      <w:r w:rsidRPr="00764DCD">
        <w:rPr>
          <w:color w:val="000000"/>
          <w:spacing w:val="-6"/>
          <w:sz w:val="28"/>
          <w:szCs w:val="28"/>
          <w:shd w:val="clear" w:color="auto" w:fill="FFFFFF"/>
        </w:rPr>
        <w:t>.</w:t>
      </w:r>
    </w:p>
    <w:p w14:paraId="4F694001"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5. Khi bị thu hồi Giấy chứng nhận doanh nghiệp khoa học và công nghệ, doanh nghiệp không tiếp tục được hưởng những ưu đãi, hỗ trợ của Nhà nước dành cho doanh nghiệp khoa học và công nghệ. Đối với các ưu đãi, hỗ trợ có thời hạn thực hiện theo hợp đồng ưu đãi trên 12 tháng (như ưu đãi tín dụng, hỗ trợ thực hiện nhiệm vụ khoa học và công nghệ sử dụng ngân sách nhà nước hoặc các ưu đãi, hỗ trợ khác) doanh nghiệp tiếp tục thực hiện cho đến hết thời hạn của hợp đồng vay vốn tín dụng, hợp đồng thực hiện nhiệm vụ khoa học và công nghệ hoặc theo thỏa thuận hợp đồng giữa các bên.</w:t>
      </w:r>
    </w:p>
    <w:p w14:paraId="13C95243" w14:textId="77777777" w:rsidR="00764DCD" w:rsidRPr="00764DCD" w:rsidRDefault="00764DCD" w:rsidP="00764DCD">
      <w:pPr>
        <w:pStyle w:val="NormalWeb"/>
        <w:shd w:val="clear" w:color="auto" w:fill="FFFFFF"/>
        <w:spacing w:before="60" w:beforeAutospacing="0" w:after="0" w:afterAutospacing="0"/>
        <w:ind w:firstLine="709"/>
        <w:jc w:val="both"/>
        <w:rPr>
          <w:rFonts w:ascii="Times New Roman Bold" w:hAnsi="Times New Roman Bold"/>
          <w:color w:val="000000"/>
          <w:spacing w:val="2"/>
          <w:sz w:val="28"/>
          <w:szCs w:val="28"/>
        </w:rPr>
      </w:pPr>
      <w:bookmarkStart w:id="26" w:name="dieu_9"/>
      <w:r w:rsidRPr="00764DCD">
        <w:rPr>
          <w:rFonts w:ascii="Times New Roman Bold" w:hAnsi="Times New Roman Bold"/>
          <w:b/>
          <w:bCs/>
          <w:color w:val="000000"/>
          <w:spacing w:val="2"/>
          <w:sz w:val="28"/>
          <w:szCs w:val="28"/>
          <w:shd w:val="clear" w:color="auto" w:fill="FFFFFF"/>
        </w:rPr>
        <w:t>Điều 9. Hủy bỏ hiệu lực Giấy chứng nhận doanh nghiệp khoa học và công nghệ</w:t>
      </w:r>
      <w:bookmarkEnd w:id="26"/>
    </w:p>
    <w:p w14:paraId="2D659D6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1. Hành vi xâm phạm quyền sở hữu hoặc quyền sử dụng kết quả khoa học và công nghệ quy định tại </w:t>
      </w:r>
      <w:bookmarkStart w:id="27" w:name="dc_15"/>
      <w:r w:rsidRPr="00764DCD">
        <w:rPr>
          <w:color w:val="000000"/>
          <w:spacing w:val="-6"/>
          <w:sz w:val="28"/>
          <w:szCs w:val="28"/>
          <w:shd w:val="clear" w:color="auto" w:fill="FFFFFF"/>
        </w:rPr>
        <w:t>điểm a khoản 2 Điều 10 Nghị định số 13/2019/NĐ- CP</w:t>
      </w:r>
      <w:bookmarkEnd w:id="27"/>
      <w:r w:rsidRPr="00764DCD">
        <w:rPr>
          <w:color w:val="000000"/>
          <w:spacing w:val="-6"/>
          <w:sz w:val="28"/>
          <w:szCs w:val="28"/>
          <w:shd w:val="clear" w:color="auto" w:fill="FFFFFF"/>
        </w:rPr>
        <w:t> căn cứ vào quyết định xử phạt vi phạm hành chính của các cơ quan có thẩm quyền hoặc phán quyết của Tòa án.</w:t>
      </w:r>
    </w:p>
    <w:p w14:paraId="2E54095A"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Hành vi giả mạo nội dung hồ sơ đề nghị chứng nhận doanh nghiệp khoa học và công nghệ quy định tại </w:t>
      </w:r>
      <w:bookmarkStart w:id="28" w:name="dc_16"/>
      <w:r w:rsidRPr="00764DCD">
        <w:rPr>
          <w:color w:val="000000"/>
          <w:spacing w:val="-6"/>
          <w:sz w:val="28"/>
          <w:szCs w:val="28"/>
          <w:shd w:val="clear" w:color="auto" w:fill="FFFFFF"/>
        </w:rPr>
        <w:t>điểm b khoản 2 Điều 10 Nghị định số 13/2019/NĐ-CP</w:t>
      </w:r>
      <w:bookmarkEnd w:id="28"/>
      <w:r w:rsidRPr="00764DCD">
        <w:rPr>
          <w:color w:val="000000"/>
          <w:spacing w:val="-6"/>
          <w:sz w:val="28"/>
          <w:szCs w:val="28"/>
          <w:shd w:val="clear" w:color="auto" w:fill="FFFFFF"/>
        </w:rPr>
        <w:t> gồm:</w:t>
      </w:r>
    </w:p>
    <w:p w14:paraId="68F79D7B"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lastRenderedPageBreak/>
        <w:t>a) Hành vi giả mạo các loại văn bản xác nhận, công nhận kết quả khoa học và công nghệ của cơ quan có thẩm quyền quy định tại </w:t>
      </w:r>
      <w:bookmarkStart w:id="29" w:name="dc_17"/>
      <w:r w:rsidRPr="00764DCD">
        <w:rPr>
          <w:color w:val="000000"/>
          <w:spacing w:val="-6"/>
          <w:sz w:val="28"/>
          <w:szCs w:val="28"/>
          <w:shd w:val="clear" w:color="auto" w:fill="FFFFFF"/>
        </w:rPr>
        <w:t>điểm b khoản 2 Điều 7 Nghị định số 13/2019/NĐ-CP</w:t>
      </w:r>
      <w:bookmarkEnd w:id="29"/>
      <w:r w:rsidRPr="00764DCD">
        <w:rPr>
          <w:color w:val="000000"/>
          <w:spacing w:val="-6"/>
          <w:sz w:val="28"/>
          <w:szCs w:val="28"/>
          <w:shd w:val="clear" w:color="auto" w:fill="FFFFFF"/>
        </w:rPr>
        <w:t>;</w:t>
      </w:r>
    </w:p>
    <w:p w14:paraId="7E616513"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b) Hành vi cố ý kê khai sai thông tin về tỷ lệ doanh thu để cấp giấy chứng nhận doanh nghiệp khoa học và công nghệ đối với các doanh nghiệp đã thành lập từ đủ 05 (năm) năm trở lên.</w:t>
      </w:r>
    </w:p>
    <w:p w14:paraId="796F9198"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3. Khi bị hủy bỏ hiệu lực Giấy chứng nhận doanh nghiệp khoa học và công nghệ, doanh nghiệp bị truy thu toàn bộ các khoản tiền đã được miễn, giảm đối với doanh nghiệp khoa học và công nghệ và bị xử lý theo quy định của pháp luật.</w:t>
      </w:r>
    </w:p>
    <w:p w14:paraId="4831729F"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4. Cơ quan có thẩm quyền hủy bỏ hiệu lực Giấy chứng nhận doanh nghiệp khoa học và công nghệ có trách nhiệm thông báo về việc hủy bỏ và đăng thông tin theo quy định tại </w:t>
      </w:r>
      <w:bookmarkStart w:id="30" w:name="dc_18"/>
      <w:r w:rsidRPr="00764DCD">
        <w:rPr>
          <w:color w:val="000000"/>
          <w:spacing w:val="-6"/>
          <w:sz w:val="28"/>
          <w:szCs w:val="28"/>
          <w:shd w:val="clear" w:color="auto" w:fill="FFFFFF"/>
        </w:rPr>
        <w:t>khoản 3 Điều 10 Nghị định số 13/2019/NĐ-CP</w:t>
      </w:r>
      <w:bookmarkEnd w:id="30"/>
      <w:r w:rsidRPr="00764DCD">
        <w:rPr>
          <w:color w:val="000000"/>
          <w:spacing w:val="-6"/>
          <w:sz w:val="28"/>
          <w:szCs w:val="28"/>
          <w:shd w:val="clear" w:color="auto" w:fill="FFFFFF"/>
        </w:rPr>
        <w:t>.</w:t>
      </w:r>
    </w:p>
    <w:p w14:paraId="2C072816"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31" w:name="dieu_10"/>
      <w:r w:rsidRPr="00764DCD">
        <w:rPr>
          <w:b/>
          <w:bCs/>
          <w:color w:val="000000"/>
          <w:spacing w:val="-6"/>
          <w:sz w:val="28"/>
          <w:szCs w:val="28"/>
          <w:shd w:val="clear" w:color="auto" w:fill="FFFFFF"/>
        </w:rPr>
        <w:t>Điều 10. Tiêu chí, thẩm quyền xác định dịch vụ mới có ứng dụng kết quả khoa học và công nghệ trong lĩnh vực công nghệ thông tin</w:t>
      </w:r>
      <w:bookmarkEnd w:id="31"/>
    </w:p>
    <w:p w14:paraId="2999A42B"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1. Xác định dịch vụ mới được hình thành từ ứng dụng kết quả khoa học và công nghệ trong lĩnh vực công nghệ thông tin phải đáp ứng các tiêu chí sau:</w:t>
      </w:r>
    </w:p>
    <w:p w14:paraId="063BC6BD" w14:textId="2BF0C196"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a) Dịch vụ được hình thành từ hoạt động nghiên cứu, ứng dụng, chuyển giao và phát triển công nghệ dựa trên nền tảng các công nghệ cao, công nghệ chủ chốt của công nghiệp 4.0 thuộc Danh mục công nghệ cao được ưu tiên đầu tư phát triển và danh mục sản phẩm công nghệ cao được khuyến khích phát triển tại Quyết định số 38/2020/QĐ-TTg ngày 30 tháng 12 năm 2020 của Thủ tướng Chính phủ; hoặc Danh mục công nghệ ưu tiên nghiên cứu, phát triển và ứng dụng để chủ động tham gia cuộc Cách mạng công nghiệp lần thứ tư tại Quyết định số 2117/QĐ-TTg ngày 16 tháng 12 năm 2020 của Thủ tướng Chính phủ;</w:t>
      </w:r>
    </w:p>
    <w:p w14:paraId="3E43EE38"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b) Có giải pháp hoặc mô hình sản xuất kinh doanh cung ứng dịch vụ;</w:t>
      </w:r>
    </w:p>
    <w:p w14:paraId="4F169E9A"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c) Mô tả tính mới của dịch vụ so với dịch vụ đã có trên thị trường.</w:t>
      </w:r>
    </w:p>
    <w:p w14:paraId="31CF65FE"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Thẩm quyền xác định dịch vụ mới có ứng dụng kết quả khoa học và công nghệ trong lĩnh vực công nghệ thông tin:</w:t>
      </w:r>
    </w:p>
    <w:p w14:paraId="7C889843"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Cơ quan cấp Giấy chứng nhận doanh nghiệp khoa học và công nghệ căn cứ ý kiến chuyên gia của hội đồng tư vấn thẩm định, đánh giá để xác định dịch vụ mới có ứng dụng kết quả khoa học và công nghệ trong lĩnh vực công nghệ thông tin và ghi tên cụ thể dịch vụ mới trên Giấy chứng nhận doanh nghiệp khoa học và công nghệ.</w:t>
      </w:r>
    </w:p>
    <w:p w14:paraId="1F463E20"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32" w:name="dieu_11"/>
      <w:r w:rsidRPr="00764DCD">
        <w:rPr>
          <w:b/>
          <w:bCs/>
          <w:color w:val="000000"/>
          <w:spacing w:val="-6"/>
          <w:sz w:val="28"/>
          <w:szCs w:val="28"/>
          <w:shd w:val="clear" w:color="auto" w:fill="FFFFFF"/>
        </w:rPr>
        <w:t>Điều 11. Trách nhiệm cung cấp thông tin của doanh nghiệp khoa học và công nghệ</w:t>
      </w:r>
      <w:bookmarkEnd w:id="32"/>
    </w:p>
    <w:p w14:paraId="64CA07CC"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1. Định kỳ hằng năm, doanh nghiệp khoa học và công nghệ báo cáo tình hình sản xuất, kinh doanh sản phẩm hình thành từ kết quả khoa học và công nghệ theo mẫu quy định tại </w:t>
      </w:r>
      <w:bookmarkStart w:id="33" w:name="bieumau_pl_tt_10_2021_bkhcn"/>
      <w:r w:rsidRPr="00764DCD">
        <w:rPr>
          <w:color w:val="000000"/>
          <w:spacing w:val="-6"/>
          <w:sz w:val="28"/>
          <w:szCs w:val="28"/>
          <w:shd w:val="clear" w:color="auto" w:fill="FFFFFF"/>
        </w:rPr>
        <w:t>Phụ lục</w:t>
      </w:r>
      <w:bookmarkEnd w:id="33"/>
      <w:r w:rsidRPr="00764DCD">
        <w:rPr>
          <w:color w:val="000000"/>
          <w:spacing w:val="-6"/>
          <w:sz w:val="28"/>
          <w:szCs w:val="28"/>
          <w:shd w:val="clear" w:color="auto" w:fill="FFFFFF"/>
        </w:rPr>
        <w:t> ban hành kèm theo Thông tư này (kèm bản sao tờ khai quyết toán thuế đã nộp cho cơ quan thuế) gửi đến cơ quan chuyên môn về khoa học và công nghệ thuộc Ủy ban nhân dân tỉnh, thành phố trực thuộc Trung ương.</w:t>
      </w:r>
    </w:p>
    <w:p w14:paraId="359A0376"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 xml:space="preserve">2. Thời hạn báo cáo trước ngày 15 tháng 5 của năm tiếp theo, sau khi doanh nghiệp đã hoàn thành việc quyết toán thuế của năm trước. Trường hợp cần gia hạn thời gian báo cáo, doanh nghiệp có văn bản đề nghị gửi về cơ quan chuyên môn về </w:t>
      </w:r>
      <w:r w:rsidRPr="00764DCD">
        <w:rPr>
          <w:color w:val="000000"/>
          <w:spacing w:val="-6"/>
          <w:sz w:val="28"/>
          <w:szCs w:val="28"/>
          <w:shd w:val="clear" w:color="auto" w:fill="FFFFFF"/>
        </w:rPr>
        <w:lastRenderedPageBreak/>
        <w:t>khoa học và công nghệ thuộc Ủy ban nhân dân tỉnh, thành phố trực thuộc Trung ương nêu rõ lý do gia hạn; thời hạn gia hạn (nếu được chấp thuận) không quá 45 ngày kể từ ngày hết hạn báo cáo.</w:t>
      </w:r>
    </w:p>
    <w:p w14:paraId="7083A459"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3. Đối với doanh nghiệp không thực hiện báo cáo trong thời hạn quy định (tính cả thời gian gia hạn nếu có), cơ quan chuyên môn về khoa học và công nghệ thuộc Ủy ban nhân dân tỉnh, thành phố trực thuộc Trung ương thông báo tới doanh nghiệp bằng văn bản nêu rõ hậu quả pháp lý của việc không báo cáo. Trường hợp doanh nghiệp không báo cáo theo quy định trong 03 (ba) năm liên tiếp, cơ quan có thẩm quyền thực hiện việc thu hồi giấy chứng nhận theo quy định tại khoản 3 Điều 8 Thông tư này.</w:t>
      </w:r>
    </w:p>
    <w:p w14:paraId="0544EC69"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34" w:name="dieu_12"/>
      <w:r w:rsidRPr="00764DCD">
        <w:rPr>
          <w:b/>
          <w:bCs/>
          <w:color w:val="000000"/>
          <w:spacing w:val="-6"/>
          <w:sz w:val="28"/>
          <w:szCs w:val="28"/>
          <w:shd w:val="clear" w:color="auto" w:fill="FFFFFF"/>
        </w:rPr>
        <w:t>Điều 12. Hiệu lực thi hành</w:t>
      </w:r>
      <w:bookmarkEnd w:id="34"/>
    </w:p>
    <w:p w14:paraId="402E383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Thông tư này có hiệu lực thi hành kể từ ngày 20 tháng 01 năm 2022.</w:t>
      </w:r>
    </w:p>
    <w:p w14:paraId="482F2EB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35" w:name="dieu_13"/>
      <w:r w:rsidRPr="00764DCD">
        <w:rPr>
          <w:b/>
          <w:bCs/>
          <w:color w:val="000000"/>
          <w:spacing w:val="-6"/>
          <w:sz w:val="28"/>
          <w:szCs w:val="28"/>
          <w:shd w:val="clear" w:color="auto" w:fill="FFFFFF"/>
        </w:rPr>
        <w:t>Điều 13. Tổ chức thực hiện</w:t>
      </w:r>
      <w:bookmarkEnd w:id="35"/>
    </w:p>
    <w:p w14:paraId="551FAD58"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1. Trong quá trình thực hiện nếu phát sinh vướng mắc, đề nghị các cơ quan, tổ chức, cá nhân phản ánh bằng văn bản về Bộ Khoa học và Công nghệ để được hướng dẫn hoặc nghiên cứu sửa đổi, bổ sung cho phù hợp.</w:t>
      </w:r>
    </w:p>
    <w:p w14:paraId="3B49EFC5"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r w:rsidRPr="00764DCD">
        <w:rPr>
          <w:color w:val="000000"/>
          <w:spacing w:val="-6"/>
          <w:sz w:val="28"/>
          <w:szCs w:val="28"/>
          <w:shd w:val="clear" w:color="auto" w:fill="FFFFFF"/>
        </w:rPr>
        <w:t>2. Trong quá trình thực hiện, nếu các văn bản quy phạm pháp luật được dẫn chiếu để áp dụng trong Thông tư này được sửa đổi, bổ sung hoặc thay thế bằng văn bản mới thì sẽ được dẫn chiếu áp dụng theo các văn bản mới đó.</w:t>
      </w:r>
    </w:p>
    <w:p w14:paraId="68607BDD" w14:textId="2FDFF895" w:rsidR="00741C10" w:rsidRDefault="00764DCD" w:rsidP="00764DCD">
      <w:pPr>
        <w:pStyle w:val="NormalWeb"/>
        <w:shd w:val="clear" w:color="auto" w:fill="FFFFFF"/>
        <w:spacing w:before="60" w:beforeAutospacing="0" w:after="0" w:afterAutospacing="0"/>
        <w:ind w:firstLine="709"/>
        <w:jc w:val="both"/>
        <w:rPr>
          <w:color w:val="000000"/>
          <w:spacing w:val="-6"/>
          <w:sz w:val="28"/>
          <w:szCs w:val="28"/>
          <w:shd w:val="clear" w:color="auto" w:fill="FFFFFF"/>
        </w:rPr>
      </w:pPr>
      <w:r w:rsidRPr="00764DCD">
        <w:rPr>
          <w:color w:val="000000"/>
          <w:spacing w:val="-6"/>
          <w:sz w:val="28"/>
          <w:szCs w:val="28"/>
          <w:shd w:val="clear" w:color="auto" w:fill="FFFFFF"/>
        </w:rPr>
        <w:t>3. Bộ trưởng, Thủ trưởng cơ quan ngang Bộ, Thủ trưởng cơ quan thuộc Chính phủ, Chủ tịch Ủy ban nhân dân tỉnh, thành phố trực thuộc Trung ương và các tổ chức, cá nhân liên quan có trách nhiệm thi hành Thông tư này./.</w:t>
      </w:r>
    </w:p>
    <w:p w14:paraId="3E503C4D" w14:textId="77777777" w:rsidR="00764DCD" w:rsidRPr="00764DCD" w:rsidRDefault="00764DCD" w:rsidP="00764DCD">
      <w:pPr>
        <w:pStyle w:val="NormalWeb"/>
        <w:shd w:val="clear" w:color="auto" w:fill="FFFFFF"/>
        <w:spacing w:before="60" w:beforeAutospacing="0" w:after="0" w:afterAutospacing="0"/>
        <w:ind w:firstLine="709"/>
        <w:jc w:val="both"/>
        <w:rPr>
          <w:color w:val="000000"/>
          <w:spacing w:val="-6"/>
          <w:sz w:val="28"/>
          <w:szCs w:val="28"/>
        </w:rPr>
      </w:pPr>
      <w:bookmarkStart w:id="36" w:name="_GoBack"/>
      <w:bookmarkEnd w:id="36"/>
    </w:p>
    <w:tbl>
      <w:tblPr>
        <w:tblW w:w="10031" w:type="dxa"/>
        <w:tblLook w:val="04A0" w:firstRow="1" w:lastRow="0" w:firstColumn="1" w:lastColumn="0" w:noHBand="0" w:noVBand="1"/>
      </w:tblPr>
      <w:tblGrid>
        <w:gridCol w:w="5778"/>
        <w:gridCol w:w="4253"/>
      </w:tblGrid>
      <w:tr w:rsidR="00741C10" w:rsidRPr="000661A5" w14:paraId="180E01FB" w14:textId="77777777" w:rsidTr="003416F5">
        <w:tc>
          <w:tcPr>
            <w:tcW w:w="5778" w:type="dxa"/>
          </w:tcPr>
          <w:p w14:paraId="587CC0C0" w14:textId="77777777" w:rsidR="00741C10" w:rsidRPr="000661A5" w:rsidRDefault="00741C10" w:rsidP="00764DCD">
            <w:pPr>
              <w:pStyle w:val="BodyTextIndent"/>
              <w:widowControl w:val="0"/>
              <w:spacing w:after="0" w:line="240" w:lineRule="auto"/>
              <w:ind w:left="-108"/>
              <w:rPr>
                <w:rFonts w:asciiTheme="majorHAnsi" w:hAnsiTheme="majorHAnsi" w:cstheme="majorHAnsi"/>
                <w:b/>
                <w:i/>
                <w:sz w:val="24"/>
                <w:szCs w:val="24"/>
              </w:rPr>
            </w:pPr>
            <w:r w:rsidRPr="000661A5">
              <w:rPr>
                <w:rFonts w:asciiTheme="majorHAnsi" w:hAnsiTheme="majorHAnsi" w:cstheme="majorHAnsi"/>
                <w:sz w:val="26"/>
                <w:szCs w:val="26"/>
              </w:rPr>
              <w:t> </w:t>
            </w:r>
            <w:r w:rsidRPr="000661A5">
              <w:rPr>
                <w:rFonts w:asciiTheme="majorHAnsi" w:hAnsiTheme="majorHAnsi" w:cstheme="majorHAnsi"/>
                <w:b/>
                <w:i/>
                <w:sz w:val="24"/>
                <w:szCs w:val="24"/>
              </w:rPr>
              <w:t>Nơi nhận:</w:t>
            </w:r>
          </w:p>
          <w:p w14:paraId="44FB69B4" w14:textId="77777777" w:rsidR="00741C10" w:rsidRPr="000661A5" w:rsidRDefault="00741C10" w:rsidP="00764DCD">
            <w:pPr>
              <w:widowControl w:val="0"/>
              <w:spacing w:after="0" w:line="240" w:lineRule="auto"/>
              <w:ind w:left="-108"/>
              <w:rPr>
                <w:rFonts w:asciiTheme="majorHAnsi" w:hAnsiTheme="majorHAnsi" w:cstheme="majorHAnsi"/>
                <w:shd w:val="clear" w:color="auto" w:fill="FFFFFF"/>
              </w:rPr>
            </w:pPr>
            <w:r w:rsidRPr="000661A5">
              <w:rPr>
                <w:rFonts w:asciiTheme="majorHAnsi" w:hAnsiTheme="majorHAnsi" w:cstheme="majorHAnsi"/>
                <w:shd w:val="clear" w:color="auto" w:fill="FFFFFF"/>
              </w:rPr>
              <w:t>- Ban Bí thư Trung ương Đảng;</w:t>
            </w:r>
            <w:r w:rsidRPr="000661A5">
              <w:rPr>
                <w:rFonts w:asciiTheme="majorHAnsi" w:hAnsiTheme="majorHAnsi" w:cstheme="majorHAnsi"/>
                <w:shd w:val="clear" w:color="auto" w:fill="FFFFFF"/>
              </w:rPr>
              <w:br/>
              <w:t>- Thủ tướng Chính phủ;</w:t>
            </w:r>
          </w:p>
          <w:p w14:paraId="7C130411" w14:textId="77777777" w:rsidR="00741C10" w:rsidRPr="000661A5" w:rsidRDefault="00741C10" w:rsidP="00764DCD">
            <w:pPr>
              <w:widowControl w:val="0"/>
              <w:spacing w:after="0" w:line="240" w:lineRule="auto"/>
              <w:ind w:left="-108"/>
              <w:rPr>
                <w:rFonts w:asciiTheme="majorHAnsi" w:hAnsiTheme="majorHAnsi" w:cstheme="majorHAnsi"/>
                <w:shd w:val="clear" w:color="auto" w:fill="FFFFFF"/>
              </w:rPr>
            </w:pPr>
            <w:r w:rsidRPr="000661A5">
              <w:rPr>
                <w:rFonts w:asciiTheme="majorHAnsi" w:hAnsiTheme="majorHAnsi" w:cstheme="majorHAnsi"/>
                <w:shd w:val="clear" w:color="auto" w:fill="FFFFFF"/>
              </w:rPr>
              <w:t>- Các Phó Thủ tướng Chính phủ;</w:t>
            </w:r>
            <w:r w:rsidRPr="000661A5">
              <w:rPr>
                <w:rFonts w:asciiTheme="majorHAnsi" w:hAnsiTheme="majorHAnsi" w:cstheme="majorHAnsi"/>
                <w:shd w:val="clear" w:color="auto" w:fill="FFFFFF"/>
              </w:rPr>
              <w:br/>
              <w:t>- Các Bộ, cơ quan ngang Bộ, cơ quan thuộc Chính phủ;</w:t>
            </w:r>
            <w:r w:rsidRPr="000661A5">
              <w:rPr>
                <w:rFonts w:asciiTheme="majorHAnsi" w:hAnsiTheme="majorHAnsi" w:cstheme="majorHAnsi"/>
                <w:shd w:val="clear" w:color="auto" w:fill="FFFFFF"/>
              </w:rPr>
              <w:br/>
              <w:t>- Văn phòng Trung ương và các Ban của Đảng;</w:t>
            </w:r>
            <w:r w:rsidRPr="000661A5">
              <w:rPr>
                <w:rFonts w:asciiTheme="majorHAnsi" w:hAnsiTheme="majorHAnsi" w:cstheme="majorHAnsi"/>
                <w:shd w:val="clear" w:color="auto" w:fill="FFFFFF"/>
              </w:rPr>
              <w:br/>
              <w:t>- Văn phòng Tổng Bí thư;</w:t>
            </w:r>
            <w:r w:rsidRPr="000661A5">
              <w:rPr>
                <w:rFonts w:asciiTheme="majorHAnsi" w:hAnsiTheme="majorHAnsi" w:cstheme="majorHAnsi"/>
                <w:shd w:val="clear" w:color="auto" w:fill="FFFFFF"/>
              </w:rPr>
              <w:br/>
              <w:t>- Văn phòng Quốc hội;</w:t>
            </w:r>
            <w:r w:rsidRPr="000661A5">
              <w:rPr>
                <w:rFonts w:asciiTheme="majorHAnsi" w:hAnsiTheme="majorHAnsi" w:cstheme="majorHAnsi"/>
                <w:shd w:val="clear" w:color="auto" w:fill="FFFFFF"/>
              </w:rPr>
              <w:br/>
              <w:t>- Văn phòng Chủ tịch nước;</w:t>
            </w:r>
          </w:p>
          <w:p w14:paraId="008FECAD" w14:textId="77777777" w:rsidR="00741C10" w:rsidRPr="000661A5" w:rsidRDefault="00741C10" w:rsidP="00764DCD">
            <w:pPr>
              <w:widowControl w:val="0"/>
              <w:spacing w:after="0" w:line="240" w:lineRule="auto"/>
              <w:ind w:left="-108"/>
              <w:rPr>
                <w:rFonts w:asciiTheme="majorHAnsi" w:hAnsiTheme="majorHAnsi" w:cstheme="majorHAnsi"/>
                <w:shd w:val="clear" w:color="auto" w:fill="FFFFFF"/>
              </w:rPr>
            </w:pPr>
            <w:r w:rsidRPr="000661A5">
              <w:rPr>
                <w:rFonts w:asciiTheme="majorHAnsi" w:hAnsiTheme="majorHAnsi" w:cstheme="majorHAnsi"/>
                <w:shd w:val="clear" w:color="auto" w:fill="FFFFFF"/>
              </w:rPr>
              <w:t>- Văn phòng Chính phủ;</w:t>
            </w:r>
          </w:p>
          <w:p w14:paraId="2C775CED" w14:textId="77777777" w:rsidR="00741C10" w:rsidRPr="000661A5" w:rsidRDefault="00741C10" w:rsidP="00764DCD">
            <w:pPr>
              <w:widowControl w:val="0"/>
              <w:spacing w:after="0" w:line="240" w:lineRule="auto"/>
              <w:ind w:left="-108"/>
              <w:rPr>
                <w:rFonts w:asciiTheme="majorHAnsi" w:hAnsiTheme="majorHAnsi" w:cstheme="majorHAnsi"/>
                <w:shd w:val="clear" w:color="auto" w:fill="FFFFFF"/>
              </w:rPr>
            </w:pPr>
            <w:r w:rsidRPr="000661A5">
              <w:rPr>
                <w:rFonts w:asciiTheme="majorHAnsi" w:hAnsiTheme="majorHAnsi" w:cstheme="majorHAnsi"/>
                <w:shd w:val="clear" w:color="auto" w:fill="FFFFFF"/>
              </w:rPr>
              <w:t>- Viện Kiểm sát nhân dân tối cao;</w:t>
            </w:r>
          </w:p>
          <w:p w14:paraId="7A34ACCA" w14:textId="77777777" w:rsidR="00741C10" w:rsidRPr="000661A5" w:rsidRDefault="00741C10" w:rsidP="00764DCD">
            <w:pPr>
              <w:widowControl w:val="0"/>
              <w:spacing w:after="0" w:line="240" w:lineRule="auto"/>
              <w:ind w:left="-108"/>
              <w:rPr>
                <w:rFonts w:asciiTheme="majorHAnsi" w:hAnsiTheme="majorHAnsi" w:cstheme="majorHAnsi"/>
                <w:shd w:val="clear" w:color="auto" w:fill="FFFFFF"/>
              </w:rPr>
            </w:pPr>
            <w:r w:rsidRPr="000661A5">
              <w:rPr>
                <w:rFonts w:asciiTheme="majorHAnsi" w:hAnsiTheme="majorHAnsi" w:cstheme="majorHAnsi"/>
                <w:shd w:val="clear" w:color="auto" w:fill="FFFFFF"/>
              </w:rPr>
              <w:t>- Tòa án nhân dân tối cao;</w:t>
            </w:r>
            <w:r w:rsidRPr="000661A5">
              <w:rPr>
                <w:rFonts w:asciiTheme="majorHAnsi" w:hAnsiTheme="majorHAnsi" w:cstheme="majorHAnsi"/>
                <w:shd w:val="clear" w:color="auto" w:fill="FFFFFF"/>
              </w:rPr>
              <w:br/>
              <w:t>- Kiểm toán Nhà nước;</w:t>
            </w:r>
            <w:r w:rsidRPr="000661A5">
              <w:rPr>
                <w:rFonts w:asciiTheme="majorHAnsi" w:hAnsiTheme="majorHAnsi" w:cstheme="majorHAnsi"/>
                <w:shd w:val="clear" w:color="auto" w:fill="FFFFFF"/>
              </w:rPr>
              <w:br/>
              <w:t>- Ủy ban Trung ương Mặt trận Tổ quốc Việt Nam;</w:t>
            </w:r>
            <w:r w:rsidRPr="000661A5">
              <w:rPr>
                <w:rFonts w:asciiTheme="majorHAnsi" w:hAnsiTheme="majorHAnsi" w:cstheme="majorHAnsi"/>
                <w:shd w:val="clear" w:color="auto" w:fill="FFFFFF"/>
              </w:rPr>
              <w:br/>
              <w:t>- Ủy ban Giám sát tài chính Quốc gia;</w:t>
            </w:r>
            <w:r w:rsidRPr="000661A5">
              <w:rPr>
                <w:rFonts w:asciiTheme="majorHAnsi" w:hAnsiTheme="majorHAnsi" w:cstheme="majorHAnsi"/>
                <w:shd w:val="clear" w:color="auto" w:fill="FFFFFF"/>
              </w:rPr>
              <w:br/>
              <w:t>- Cơ quan Trung ương của các tổ chức chính trị - xã hội;</w:t>
            </w:r>
          </w:p>
          <w:p w14:paraId="51D5ABAB" w14:textId="77777777" w:rsidR="00741C10" w:rsidRPr="000661A5" w:rsidRDefault="00741C10" w:rsidP="00764DCD">
            <w:pPr>
              <w:widowControl w:val="0"/>
              <w:spacing w:after="0" w:line="240" w:lineRule="auto"/>
              <w:ind w:left="-108"/>
              <w:rPr>
                <w:rFonts w:asciiTheme="majorHAnsi" w:hAnsiTheme="majorHAnsi" w:cstheme="majorHAnsi"/>
                <w:shd w:val="clear" w:color="auto" w:fill="FFFFFF"/>
              </w:rPr>
            </w:pPr>
            <w:r w:rsidRPr="000661A5">
              <w:rPr>
                <w:rFonts w:asciiTheme="majorHAnsi" w:hAnsiTheme="majorHAnsi" w:cstheme="majorHAnsi"/>
                <w:shd w:val="clear" w:color="auto" w:fill="FFFFFF"/>
              </w:rPr>
              <w:t>- HĐND, UBND các tỉnh, thành phố trực thuộc TW;</w:t>
            </w:r>
            <w:r w:rsidRPr="000661A5">
              <w:rPr>
                <w:rFonts w:asciiTheme="majorHAnsi" w:hAnsiTheme="majorHAnsi" w:cstheme="majorHAnsi"/>
                <w:shd w:val="clear" w:color="auto" w:fill="FFFFFF"/>
              </w:rPr>
              <w:br/>
              <w:t>- Cục kiểm tra văn bản QPPL (Bộ Tư pháp);</w:t>
            </w:r>
            <w:r w:rsidRPr="000661A5">
              <w:rPr>
                <w:rFonts w:asciiTheme="majorHAnsi" w:hAnsiTheme="majorHAnsi" w:cstheme="majorHAnsi"/>
                <w:shd w:val="clear" w:color="auto" w:fill="FFFFFF"/>
              </w:rPr>
              <w:br/>
            </w:r>
            <w:r w:rsidRPr="000661A5">
              <w:rPr>
                <w:rFonts w:asciiTheme="majorHAnsi" w:hAnsiTheme="majorHAnsi" w:cstheme="majorHAnsi"/>
              </w:rPr>
              <w:t xml:space="preserve">- </w:t>
            </w:r>
            <w:r w:rsidRPr="000661A5">
              <w:rPr>
                <w:rFonts w:asciiTheme="majorHAnsi" w:hAnsiTheme="majorHAnsi" w:cstheme="majorHAnsi"/>
                <w:shd w:val="clear" w:color="auto" w:fill="FFFFFF"/>
              </w:rPr>
              <w:t xml:space="preserve">Công báo; </w:t>
            </w:r>
          </w:p>
          <w:p w14:paraId="0D279F1C" w14:textId="77777777" w:rsidR="00741C10" w:rsidRPr="000661A5" w:rsidRDefault="00741C10" w:rsidP="003416F5">
            <w:pPr>
              <w:widowControl w:val="0"/>
              <w:spacing w:after="0" w:line="320" w:lineRule="exact"/>
              <w:ind w:left="-108"/>
              <w:rPr>
                <w:rFonts w:asciiTheme="majorHAnsi" w:hAnsiTheme="majorHAnsi" w:cstheme="majorHAnsi"/>
              </w:rPr>
            </w:pPr>
            <w:r w:rsidRPr="000661A5">
              <w:rPr>
                <w:rFonts w:asciiTheme="majorHAnsi" w:hAnsiTheme="majorHAnsi" w:cstheme="majorHAnsi"/>
                <w:shd w:val="clear" w:color="auto" w:fill="FFFFFF"/>
              </w:rPr>
              <w:t xml:space="preserve">- </w:t>
            </w:r>
            <w:r w:rsidRPr="000661A5">
              <w:rPr>
                <w:rFonts w:asciiTheme="majorHAnsi" w:hAnsiTheme="majorHAnsi" w:cstheme="majorHAnsi"/>
              </w:rPr>
              <w:t xml:space="preserve">Cổng thông tin điện tử Bộ KH&amp;CN; </w:t>
            </w:r>
          </w:p>
          <w:p w14:paraId="440F9C6F" w14:textId="77777777" w:rsidR="00741C10" w:rsidRPr="000661A5" w:rsidRDefault="00741C10" w:rsidP="003416F5">
            <w:pPr>
              <w:widowControl w:val="0"/>
              <w:spacing w:after="0" w:line="320" w:lineRule="exact"/>
              <w:ind w:left="-108"/>
              <w:rPr>
                <w:rFonts w:asciiTheme="majorHAnsi" w:hAnsiTheme="majorHAnsi" w:cstheme="majorHAnsi"/>
                <w:lang w:val="en-US"/>
              </w:rPr>
            </w:pPr>
            <w:r w:rsidRPr="000661A5">
              <w:rPr>
                <w:rFonts w:asciiTheme="majorHAnsi" w:hAnsiTheme="majorHAnsi" w:cstheme="majorHAnsi"/>
              </w:rPr>
              <w:t>- Lưu: VT, TĐC, PC.</w:t>
            </w:r>
            <w:r w:rsidRPr="000661A5">
              <w:rPr>
                <w:rFonts w:asciiTheme="majorHAnsi" w:hAnsiTheme="majorHAnsi" w:cstheme="majorHAnsi"/>
                <w:lang w:val="en-US"/>
              </w:rPr>
              <w:t xml:space="preserve">  </w:t>
            </w:r>
          </w:p>
        </w:tc>
        <w:tc>
          <w:tcPr>
            <w:tcW w:w="4253" w:type="dxa"/>
            <w:tcBorders>
              <w:left w:val="nil"/>
            </w:tcBorders>
          </w:tcPr>
          <w:p w14:paraId="25F12F0F" w14:textId="77777777" w:rsidR="00741C10" w:rsidRPr="000661A5" w:rsidRDefault="00741C10" w:rsidP="003416F5">
            <w:pPr>
              <w:widowControl w:val="0"/>
              <w:spacing w:before="120" w:after="0" w:line="320" w:lineRule="exact"/>
              <w:ind w:right="709"/>
              <w:jc w:val="center"/>
              <w:rPr>
                <w:rFonts w:asciiTheme="majorHAnsi" w:hAnsiTheme="majorHAnsi" w:cstheme="majorHAnsi"/>
                <w:b/>
                <w:bCs/>
                <w:sz w:val="26"/>
                <w:szCs w:val="26"/>
              </w:rPr>
            </w:pPr>
            <w:r w:rsidRPr="000661A5">
              <w:rPr>
                <w:rFonts w:asciiTheme="majorHAnsi" w:hAnsiTheme="majorHAnsi" w:cstheme="majorHAnsi"/>
                <w:b/>
                <w:bCs/>
                <w:sz w:val="26"/>
                <w:szCs w:val="26"/>
                <w:lang w:val="en-US"/>
              </w:rPr>
              <w:t xml:space="preserve">KT. </w:t>
            </w:r>
            <w:r w:rsidRPr="000661A5">
              <w:rPr>
                <w:rFonts w:asciiTheme="majorHAnsi" w:hAnsiTheme="majorHAnsi" w:cstheme="majorHAnsi"/>
                <w:b/>
                <w:bCs/>
                <w:sz w:val="26"/>
                <w:szCs w:val="26"/>
              </w:rPr>
              <w:t>BỘ TRƯỞNG</w:t>
            </w:r>
          </w:p>
          <w:p w14:paraId="30A71908" w14:textId="77777777" w:rsidR="00741C10" w:rsidRPr="000661A5" w:rsidRDefault="00741C10" w:rsidP="003416F5">
            <w:pPr>
              <w:widowControl w:val="0"/>
              <w:spacing w:after="0" w:line="320" w:lineRule="exact"/>
              <w:ind w:right="709"/>
              <w:jc w:val="center"/>
              <w:rPr>
                <w:rFonts w:asciiTheme="majorHAnsi" w:hAnsiTheme="majorHAnsi" w:cstheme="majorHAnsi"/>
                <w:b/>
                <w:bCs/>
                <w:sz w:val="26"/>
                <w:szCs w:val="26"/>
                <w:lang w:val="en-US"/>
              </w:rPr>
            </w:pPr>
            <w:r w:rsidRPr="000661A5">
              <w:rPr>
                <w:rFonts w:asciiTheme="majorHAnsi" w:hAnsiTheme="majorHAnsi" w:cstheme="majorHAnsi"/>
                <w:b/>
                <w:bCs/>
                <w:sz w:val="26"/>
                <w:szCs w:val="26"/>
                <w:lang w:val="en-US"/>
              </w:rPr>
              <w:t>THỨ TRƯỞNG</w:t>
            </w:r>
          </w:p>
          <w:p w14:paraId="157825CB" w14:textId="77777777" w:rsidR="00741C10" w:rsidRPr="000661A5" w:rsidRDefault="00741C10" w:rsidP="003416F5">
            <w:pPr>
              <w:widowControl w:val="0"/>
              <w:spacing w:before="120" w:after="120" w:line="320" w:lineRule="exact"/>
              <w:ind w:right="709"/>
              <w:jc w:val="center"/>
              <w:rPr>
                <w:rFonts w:asciiTheme="majorHAnsi" w:hAnsiTheme="majorHAnsi" w:cstheme="majorHAnsi"/>
                <w:b/>
                <w:bCs/>
                <w:sz w:val="28"/>
                <w:szCs w:val="28"/>
              </w:rPr>
            </w:pPr>
          </w:p>
          <w:p w14:paraId="3D4EA713" w14:textId="77777777" w:rsidR="00741C10" w:rsidRPr="000661A5" w:rsidRDefault="00741C10" w:rsidP="003416F5">
            <w:pPr>
              <w:widowControl w:val="0"/>
              <w:spacing w:before="120" w:after="120" w:line="320" w:lineRule="exact"/>
              <w:ind w:right="709"/>
              <w:jc w:val="center"/>
              <w:rPr>
                <w:rFonts w:asciiTheme="majorHAnsi" w:hAnsiTheme="majorHAnsi" w:cstheme="majorHAnsi"/>
                <w:b/>
                <w:bCs/>
                <w:sz w:val="28"/>
                <w:szCs w:val="28"/>
              </w:rPr>
            </w:pPr>
          </w:p>
          <w:p w14:paraId="12690748" w14:textId="77777777" w:rsidR="00741C10" w:rsidRPr="000661A5" w:rsidRDefault="00741C10" w:rsidP="00764DCD">
            <w:pPr>
              <w:widowControl w:val="0"/>
              <w:spacing w:before="120" w:after="120" w:line="320" w:lineRule="exact"/>
              <w:ind w:right="709"/>
              <w:rPr>
                <w:rFonts w:asciiTheme="majorHAnsi" w:hAnsiTheme="majorHAnsi" w:cstheme="majorHAnsi"/>
                <w:b/>
                <w:bCs/>
                <w:sz w:val="28"/>
                <w:szCs w:val="28"/>
                <w:lang w:val="en-US"/>
              </w:rPr>
            </w:pPr>
          </w:p>
          <w:p w14:paraId="6249228E" w14:textId="1EDAF896" w:rsidR="00741C10" w:rsidRPr="000661A5" w:rsidRDefault="00764DCD" w:rsidP="003416F5">
            <w:pPr>
              <w:widowControl w:val="0"/>
              <w:spacing w:before="120" w:after="120" w:line="320" w:lineRule="exact"/>
              <w:ind w:right="709"/>
              <w:jc w:val="center"/>
              <w:rPr>
                <w:rFonts w:asciiTheme="majorHAnsi" w:hAnsiTheme="majorHAnsi" w:cstheme="majorHAnsi"/>
                <w:b/>
                <w:bCs/>
                <w:sz w:val="28"/>
                <w:szCs w:val="28"/>
                <w:lang w:val="en-US"/>
              </w:rPr>
            </w:pPr>
            <w:proofErr w:type="spellStart"/>
            <w:r>
              <w:rPr>
                <w:rFonts w:asciiTheme="majorHAnsi" w:hAnsiTheme="majorHAnsi" w:cstheme="majorHAnsi"/>
                <w:b/>
                <w:bCs/>
                <w:sz w:val="28"/>
                <w:szCs w:val="28"/>
                <w:lang w:val="en-US"/>
              </w:rPr>
              <w:t>Trần</w:t>
            </w:r>
            <w:proofErr w:type="spellEnd"/>
            <w:r>
              <w:rPr>
                <w:rFonts w:asciiTheme="majorHAnsi" w:hAnsiTheme="majorHAnsi" w:cstheme="majorHAnsi"/>
                <w:b/>
                <w:bCs/>
                <w:sz w:val="28"/>
                <w:szCs w:val="28"/>
                <w:lang w:val="en-US"/>
              </w:rPr>
              <w:t xml:space="preserve"> </w:t>
            </w:r>
            <w:proofErr w:type="spellStart"/>
            <w:r>
              <w:rPr>
                <w:rFonts w:asciiTheme="majorHAnsi" w:hAnsiTheme="majorHAnsi" w:cstheme="majorHAnsi"/>
                <w:b/>
                <w:bCs/>
                <w:sz w:val="28"/>
                <w:szCs w:val="28"/>
                <w:lang w:val="en-US"/>
              </w:rPr>
              <w:t>Văn</w:t>
            </w:r>
            <w:proofErr w:type="spellEnd"/>
            <w:r>
              <w:rPr>
                <w:rFonts w:asciiTheme="majorHAnsi" w:hAnsiTheme="majorHAnsi" w:cstheme="majorHAnsi"/>
                <w:b/>
                <w:bCs/>
                <w:sz w:val="28"/>
                <w:szCs w:val="28"/>
                <w:lang w:val="en-US"/>
              </w:rPr>
              <w:t xml:space="preserve"> </w:t>
            </w:r>
            <w:proofErr w:type="spellStart"/>
            <w:r>
              <w:rPr>
                <w:rFonts w:asciiTheme="majorHAnsi" w:hAnsiTheme="majorHAnsi" w:cstheme="majorHAnsi"/>
                <w:b/>
                <w:bCs/>
                <w:sz w:val="28"/>
                <w:szCs w:val="28"/>
                <w:lang w:val="en-US"/>
              </w:rPr>
              <w:t>Tùng</w:t>
            </w:r>
            <w:proofErr w:type="spellEnd"/>
          </w:p>
          <w:p w14:paraId="2ABF93C7" w14:textId="77777777" w:rsidR="00741C10" w:rsidRPr="000661A5" w:rsidRDefault="00741C10" w:rsidP="003416F5">
            <w:pPr>
              <w:widowControl w:val="0"/>
              <w:spacing w:before="120" w:after="120" w:line="320" w:lineRule="exact"/>
              <w:ind w:right="709"/>
              <w:jc w:val="center"/>
              <w:rPr>
                <w:rFonts w:asciiTheme="majorHAnsi" w:hAnsiTheme="majorHAnsi" w:cstheme="majorHAnsi"/>
                <w:b/>
                <w:bCs/>
                <w:sz w:val="28"/>
                <w:szCs w:val="28"/>
                <w:lang w:val="en-US"/>
              </w:rPr>
            </w:pPr>
          </w:p>
          <w:p w14:paraId="12950C3E" w14:textId="77777777" w:rsidR="00741C10" w:rsidRPr="000661A5" w:rsidRDefault="00741C10" w:rsidP="003416F5">
            <w:pPr>
              <w:widowControl w:val="0"/>
              <w:spacing w:before="120" w:after="120" w:line="320" w:lineRule="exact"/>
              <w:jc w:val="center"/>
              <w:rPr>
                <w:rFonts w:asciiTheme="majorHAnsi" w:hAnsiTheme="majorHAnsi" w:cstheme="majorHAnsi"/>
                <w:b/>
                <w:bCs/>
                <w:sz w:val="28"/>
                <w:szCs w:val="28"/>
              </w:rPr>
            </w:pPr>
          </w:p>
          <w:p w14:paraId="7B035CEB" w14:textId="77777777" w:rsidR="00741C10" w:rsidRPr="000661A5" w:rsidRDefault="00741C10" w:rsidP="003416F5">
            <w:pPr>
              <w:widowControl w:val="0"/>
              <w:spacing w:before="120" w:after="120" w:line="320" w:lineRule="exact"/>
              <w:jc w:val="center"/>
              <w:rPr>
                <w:rFonts w:asciiTheme="majorHAnsi" w:hAnsiTheme="majorHAnsi" w:cstheme="majorHAnsi"/>
                <w:b/>
                <w:bCs/>
                <w:sz w:val="28"/>
                <w:szCs w:val="28"/>
              </w:rPr>
            </w:pPr>
          </w:p>
          <w:p w14:paraId="4B109EA1" w14:textId="77777777" w:rsidR="00741C10" w:rsidRPr="000661A5" w:rsidRDefault="00741C10" w:rsidP="003416F5">
            <w:pPr>
              <w:widowControl w:val="0"/>
              <w:spacing w:before="120" w:after="120" w:line="320" w:lineRule="exact"/>
              <w:jc w:val="center"/>
              <w:rPr>
                <w:rFonts w:asciiTheme="majorHAnsi" w:hAnsiTheme="majorHAnsi" w:cstheme="majorHAnsi"/>
                <w:b/>
                <w:bCs/>
                <w:sz w:val="28"/>
                <w:szCs w:val="28"/>
              </w:rPr>
            </w:pPr>
          </w:p>
          <w:p w14:paraId="57A258AF" w14:textId="77777777" w:rsidR="00741C10" w:rsidRPr="000661A5" w:rsidRDefault="00741C10" w:rsidP="003416F5">
            <w:pPr>
              <w:widowControl w:val="0"/>
              <w:spacing w:before="120" w:after="120" w:line="320" w:lineRule="exact"/>
              <w:jc w:val="center"/>
              <w:rPr>
                <w:rFonts w:asciiTheme="majorHAnsi" w:hAnsiTheme="majorHAnsi" w:cstheme="majorHAnsi"/>
                <w:b/>
                <w:bCs/>
                <w:sz w:val="28"/>
                <w:szCs w:val="28"/>
              </w:rPr>
            </w:pPr>
          </w:p>
          <w:p w14:paraId="0A311562" w14:textId="77777777" w:rsidR="00741C10" w:rsidRPr="000661A5" w:rsidRDefault="00741C10" w:rsidP="003416F5">
            <w:pPr>
              <w:widowControl w:val="0"/>
              <w:spacing w:before="120" w:after="120" w:line="320" w:lineRule="exact"/>
              <w:jc w:val="center"/>
              <w:rPr>
                <w:rFonts w:asciiTheme="majorHAnsi" w:hAnsiTheme="majorHAnsi" w:cstheme="majorHAnsi"/>
                <w:sz w:val="28"/>
                <w:szCs w:val="28"/>
              </w:rPr>
            </w:pPr>
          </w:p>
        </w:tc>
      </w:tr>
    </w:tbl>
    <w:p w14:paraId="5B9071E9" w14:textId="77777777" w:rsidR="00B550A3" w:rsidRPr="000661A5" w:rsidRDefault="00B550A3" w:rsidP="00440B32">
      <w:pPr>
        <w:widowControl w:val="0"/>
        <w:spacing w:before="100" w:after="80" w:line="320" w:lineRule="atLeast"/>
        <w:ind w:firstLine="567"/>
        <w:jc w:val="both"/>
        <w:rPr>
          <w:rFonts w:asciiTheme="majorHAnsi" w:hAnsiTheme="majorHAnsi" w:cstheme="majorHAnsi"/>
          <w:sz w:val="28"/>
          <w:szCs w:val="28"/>
        </w:rPr>
      </w:pPr>
    </w:p>
    <w:sectPr w:rsidR="00B550A3" w:rsidRPr="000661A5" w:rsidSect="00623997">
      <w:headerReference w:type="default" r:id="rId8"/>
      <w:footerReference w:type="default" r:id="rId9"/>
      <w:footerReference w:type="first" r:id="rId10"/>
      <w:pgSz w:w="11906" w:h="16838" w:code="9"/>
      <w:pgMar w:top="1134" w:right="1134"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C9C1E" w14:textId="77777777" w:rsidR="0017709D" w:rsidRDefault="0017709D" w:rsidP="00D1627D">
      <w:pPr>
        <w:spacing w:after="0" w:line="240" w:lineRule="auto"/>
      </w:pPr>
      <w:r>
        <w:separator/>
      </w:r>
    </w:p>
  </w:endnote>
  <w:endnote w:type="continuationSeparator" w:id="0">
    <w:p w14:paraId="637D18D9" w14:textId="77777777" w:rsidR="0017709D" w:rsidRDefault="0017709D" w:rsidP="00D16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nArial">
    <w:panose1 w:val="020B7200000000000000"/>
    <w:charset w:val="00"/>
    <w:family w:val="swiss"/>
    <w:pitch w:val="variable"/>
    <w:sig w:usb0="00000007" w:usb1="00000000" w:usb2="00000000" w:usb3="00000000" w:csb0="00000013"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ABAA3" w14:textId="445CA23D" w:rsidR="00B610E0" w:rsidRPr="0009243B" w:rsidRDefault="00B610E0">
    <w:pPr>
      <w:pStyle w:val="Footer"/>
      <w:jc w:val="right"/>
      <w:rPr>
        <w:rFonts w:ascii="Arial" w:hAnsi="Arial" w:cs="Arial"/>
      </w:rPr>
    </w:pPr>
  </w:p>
  <w:p w14:paraId="42019865" w14:textId="3192A2E3" w:rsidR="00B610E0" w:rsidRPr="0009243B" w:rsidRDefault="00B610E0" w:rsidP="00092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40930" w14:textId="6F4F495D" w:rsidR="00B610E0" w:rsidRDefault="00B610E0">
    <w:pPr>
      <w:pStyle w:val="Footer"/>
      <w:jc w:val="right"/>
    </w:pPr>
  </w:p>
  <w:p w14:paraId="78D41314" w14:textId="77777777" w:rsidR="00B610E0" w:rsidRDefault="00B61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258B0" w14:textId="77777777" w:rsidR="0017709D" w:rsidRDefault="0017709D" w:rsidP="00D1627D">
      <w:pPr>
        <w:spacing w:after="0" w:line="240" w:lineRule="auto"/>
      </w:pPr>
      <w:r>
        <w:separator/>
      </w:r>
    </w:p>
  </w:footnote>
  <w:footnote w:type="continuationSeparator" w:id="0">
    <w:p w14:paraId="6380CD0B" w14:textId="77777777" w:rsidR="0017709D" w:rsidRDefault="0017709D" w:rsidP="00D16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808504"/>
      <w:docPartObj>
        <w:docPartGallery w:val="Page Numbers (Top of Page)"/>
        <w:docPartUnique/>
      </w:docPartObj>
    </w:sdtPr>
    <w:sdtEndPr>
      <w:rPr>
        <w:rFonts w:asciiTheme="majorHAnsi" w:hAnsiTheme="majorHAnsi" w:cstheme="majorHAnsi"/>
        <w:noProof/>
      </w:rPr>
    </w:sdtEndPr>
    <w:sdtContent>
      <w:p w14:paraId="54C70DE7" w14:textId="77777777" w:rsidR="00B610E0" w:rsidRPr="00A3010F" w:rsidRDefault="00B610E0">
        <w:pPr>
          <w:pStyle w:val="Header"/>
          <w:jc w:val="center"/>
          <w:rPr>
            <w:rFonts w:asciiTheme="majorHAnsi" w:hAnsiTheme="majorHAnsi" w:cstheme="majorHAnsi"/>
          </w:rPr>
        </w:pPr>
        <w:r w:rsidRPr="00A3010F">
          <w:rPr>
            <w:rFonts w:asciiTheme="majorHAnsi" w:hAnsiTheme="majorHAnsi" w:cstheme="majorHAnsi"/>
          </w:rPr>
          <w:fldChar w:fldCharType="begin"/>
        </w:r>
        <w:r w:rsidRPr="00A3010F">
          <w:rPr>
            <w:rFonts w:asciiTheme="majorHAnsi" w:hAnsiTheme="majorHAnsi" w:cstheme="majorHAnsi"/>
          </w:rPr>
          <w:instrText xml:space="preserve"> PAGE   \* MERGEFORMAT </w:instrText>
        </w:r>
        <w:r w:rsidRPr="00A3010F">
          <w:rPr>
            <w:rFonts w:asciiTheme="majorHAnsi" w:hAnsiTheme="majorHAnsi" w:cstheme="majorHAnsi"/>
          </w:rPr>
          <w:fldChar w:fldCharType="separate"/>
        </w:r>
        <w:r w:rsidR="00DD2D8D">
          <w:rPr>
            <w:rFonts w:asciiTheme="majorHAnsi" w:hAnsiTheme="majorHAnsi" w:cstheme="majorHAnsi"/>
            <w:noProof/>
          </w:rPr>
          <w:t>19</w:t>
        </w:r>
        <w:r w:rsidRPr="00A3010F">
          <w:rPr>
            <w:rFonts w:asciiTheme="majorHAnsi" w:hAnsiTheme="majorHAnsi" w:cstheme="majorHAnsi"/>
            <w:noProof/>
          </w:rPr>
          <w:fldChar w:fldCharType="end"/>
        </w:r>
      </w:p>
    </w:sdtContent>
  </w:sdt>
  <w:p w14:paraId="71023D41" w14:textId="77777777" w:rsidR="00B610E0" w:rsidRDefault="00B61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911DB"/>
    <w:multiLevelType w:val="hybridMultilevel"/>
    <w:tmpl w:val="809EC63E"/>
    <w:lvl w:ilvl="0" w:tplc="AEAA270C">
      <w:start w:val="1"/>
      <w:numFmt w:val="bullet"/>
      <w:lvlText w:val="-"/>
      <w:lvlJc w:val="left"/>
      <w:pPr>
        <w:tabs>
          <w:tab w:val="num" w:pos="720"/>
        </w:tabs>
        <w:ind w:left="720" w:hanging="360"/>
      </w:pPr>
      <w:rPr>
        <w:rFonts w:ascii=".VnTime" w:eastAsia="Batang" w:hAnsi=".VnTime" w:cs="Times New Roman" w:hint="default"/>
        <w: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3C2A77"/>
    <w:multiLevelType w:val="hybridMultilevel"/>
    <w:tmpl w:val="AE9AD490"/>
    <w:lvl w:ilvl="0" w:tplc="5218C17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5BB538D"/>
    <w:multiLevelType w:val="hybridMultilevel"/>
    <w:tmpl w:val="AEF803C0"/>
    <w:lvl w:ilvl="0" w:tplc="5B728F3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9E4B85"/>
    <w:multiLevelType w:val="hybridMultilevel"/>
    <w:tmpl w:val="D9042E34"/>
    <w:lvl w:ilvl="0" w:tplc="4FDAD2D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CCD"/>
    <w:rsid w:val="00001313"/>
    <w:rsid w:val="0000273D"/>
    <w:rsid w:val="00002CF6"/>
    <w:rsid w:val="0000471F"/>
    <w:rsid w:val="00004EC9"/>
    <w:rsid w:val="000061AF"/>
    <w:rsid w:val="000064E1"/>
    <w:rsid w:val="000125CA"/>
    <w:rsid w:val="0001344D"/>
    <w:rsid w:val="00014485"/>
    <w:rsid w:val="000173D1"/>
    <w:rsid w:val="00017928"/>
    <w:rsid w:val="00034365"/>
    <w:rsid w:val="00034FD6"/>
    <w:rsid w:val="00035A27"/>
    <w:rsid w:val="00035B64"/>
    <w:rsid w:val="00041C11"/>
    <w:rsid w:val="0004249D"/>
    <w:rsid w:val="00042D6F"/>
    <w:rsid w:val="000431DF"/>
    <w:rsid w:val="000508E9"/>
    <w:rsid w:val="00050F71"/>
    <w:rsid w:val="000511E2"/>
    <w:rsid w:val="00052CAA"/>
    <w:rsid w:val="000548B0"/>
    <w:rsid w:val="00054E39"/>
    <w:rsid w:val="000551BA"/>
    <w:rsid w:val="00056A7A"/>
    <w:rsid w:val="000609E5"/>
    <w:rsid w:val="00060F12"/>
    <w:rsid w:val="0006101E"/>
    <w:rsid w:val="00063DCD"/>
    <w:rsid w:val="00064577"/>
    <w:rsid w:val="000661A5"/>
    <w:rsid w:val="00073404"/>
    <w:rsid w:val="00077BE3"/>
    <w:rsid w:val="00077C38"/>
    <w:rsid w:val="000843E3"/>
    <w:rsid w:val="00086116"/>
    <w:rsid w:val="00086737"/>
    <w:rsid w:val="0008679B"/>
    <w:rsid w:val="00087F6E"/>
    <w:rsid w:val="00090F50"/>
    <w:rsid w:val="00091889"/>
    <w:rsid w:val="0009243B"/>
    <w:rsid w:val="000958D8"/>
    <w:rsid w:val="000967D9"/>
    <w:rsid w:val="00097BB8"/>
    <w:rsid w:val="000A169D"/>
    <w:rsid w:val="000A3149"/>
    <w:rsid w:val="000A3C87"/>
    <w:rsid w:val="000A6C58"/>
    <w:rsid w:val="000B2546"/>
    <w:rsid w:val="000B62C5"/>
    <w:rsid w:val="000C00CA"/>
    <w:rsid w:val="000C141A"/>
    <w:rsid w:val="000C4B79"/>
    <w:rsid w:val="000C71E1"/>
    <w:rsid w:val="000D5AB0"/>
    <w:rsid w:val="000D7A51"/>
    <w:rsid w:val="000D7DBD"/>
    <w:rsid w:val="000E5117"/>
    <w:rsid w:val="000E6628"/>
    <w:rsid w:val="000E7F67"/>
    <w:rsid w:val="000F258D"/>
    <w:rsid w:val="000F409C"/>
    <w:rsid w:val="000F487F"/>
    <w:rsid w:val="000F6BF8"/>
    <w:rsid w:val="000F6EA4"/>
    <w:rsid w:val="000F7299"/>
    <w:rsid w:val="00102224"/>
    <w:rsid w:val="00103953"/>
    <w:rsid w:val="00107B5A"/>
    <w:rsid w:val="00107E91"/>
    <w:rsid w:val="00112C70"/>
    <w:rsid w:val="00114994"/>
    <w:rsid w:val="0012159C"/>
    <w:rsid w:val="00121F8E"/>
    <w:rsid w:val="00124E84"/>
    <w:rsid w:val="00127586"/>
    <w:rsid w:val="00130371"/>
    <w:rsid w:val="0013327F"/>
    <w:rsid w:val="00135995"/>
    <w:rsid w:val="00136830"/>
    <w:rsid w:val="00140605"/>
    <w:rsid w:val="001420CD"/>
    <w:rsid w:val="00146198"/>
    <w:rsid w:val="001568CF"/>
    <w:rsid w:val="00160B5A"/>
    <w:rsid w:val="0016373E"/>
    <w:rsid w:val="0016428C"/>
    <w:rsid w:val="00164CAF"/>
    <w:rsid w:val="00164D7A"/>
    <w:rsid w:val="00175480"/>
    <w:rsid w:val="0017709D"/>
    <w:rsid w:val="0018069F"/>
    <w:rsid w:val="00180F81"/>
    <w:rsid w:val="0018326D"/>
    <w:rsid w:val="001849F2"/>
    <w:rsid w:val="00185167"/>
    <w:rsid w:val="00185B0C"/>
    <w:rsid w:val="00186715"/>
    <w:rsid w:val="00190B3A"/>
    <w:rsid w:val="00191DEC"/>
    <w:rsid w:val="0019262B"/>
    <w:rsid w:val="001931D8"/>
    <w:rsid w:val="00193C8D"/>
    <w:rsid w:val="00197958"/>
    <w:rsid w:val="001A05A5"/>
    <w:rsid w:val="001A0ED4"/>
    <w:rsid w:val="001A2707"/>
    <w:rsid w:val="001A34A2"/>
    <w:rsid w:val="001A470A"/>
    <w:rsid w:val="001B048D"/>
    <w:rsid w:val="001B46AE"/>
    <w:rsid w:val="001B56D4"/>
    <w:rsid w:val="001B6AC3"/>
    <w:rsid w:val="001C06B6"/>
    <w:rsid w:val="001C3B5A"/>
    <w:rsid w:val="001C4287"/>
    <w:rsid w:val="001C6BC2"/>
    <w:rsid w:val="001C7203"/>
    <w:rsid w:val="001D08DB"/>
    <w:rsid w:val="001D2113"/>
    <w:rsid w:val="001D3891"/>
    <w:rsid w:val="001D50E8"/>
    <w:rsid w:val="001E070A"/>
    <w:rsid w:val="001E0993"/>
    <w:rsid w:val="001E0DB6"/>
    <w:rsid w:val="001E4748"/>
    <w:rsid w:val="001E48C2"/>
    <w:rsid w:val="001E4DDB"/>
    <w:rsid w:val="001E505C"/>
    <w:rsid w:val="001F0A46"/>
    <w:rsid w:val="001F0D9C"/>
    <w:rsid w:val="001F1E5F"/>
    <w:rsid w:val="001F3301"/>
    <w:rsid w:val="001F3DC8"/>
    <w:rsid w:val="001F45F4"/>
    <w:rsid w:val="001F580D"/>
    <w:rsid w:val="001F64B2"/>
    <w:rsid w:val="001F737F"/>
    <w:rsid w:val="0020203E"/>
    <w:rsid w:val="00203557"/>
    <w:rsid w:val="0021007E"/>
    <w:rsid w:val="0021076A"/>
    <w:rsid w:val="00211ED9"/>
    <w:rsid w:val="00213F9F"/>
    <w:rsid w:val="00214C83"/>
    <w:rsid w:val="0021758C"/>
    <w:rsid w:val="00223A6D"/>
    <w:rsid w:val="00226C15"/>
    <w:rsid w:val="0023352A"/>
    <w:rsid w:val="00233F1F"/>
    <w:rsid w:val="00241967"/>
    <w:rsid w:val="00250E7A"/>
    <w:rsid w:val="0025279E"/>
    <w:rsid w:val="00253A60"/>
    <w:rsid w:val="00256902"/>
    <w:rsid w:val="002647D7"/>
    <w:rsid w:val="00270166"/>
    <w:rsid w:val="0027205D"/>
    <w:rsid w:val="00275E53"/>
    <w:rsid w:val="0027658A"/>
    <w:rsid w:val="00276D19"/>
    <w:rsid w:val="00281194"/>
    <w:rsid w:val="002817CB"/>
    <w:rsid w:val="00281BA4"/>
    <w:rsid w:val="0028375E"/>
    <w:rsid w:val="00284581"/>
    <w:rsid w:val="00286991"/>
    <w:rsid w:val="002903C4"/>
    <w:rsid w:val="00297756"/>
    <w:rsid w:val="002A00E8"/>
    <w:rsid w:val="002A02DD"/>
    <w:rsid w:val="002A30E3"/>
    <w:rsid w:val="002A32D1"/>
    <w:rsid w:val="002A409C"/>
    <w:rsid w:val="002B0706"/>
    <w:rsid w:val="002B0A5E"/>
    <w:rsid w:val="002B3BC5"/>
    <w:rsid w:val="002C1A44"/>
    <w:rsid w:val="002C27B4"/>
    <w:rsid w:val="002C4CBA"/>
    <w:rsid w:val="002C6F33"/>
    <w:rsid w:val="002D01CF"/>
    <w:rsid w:val="002D33F9"/>
    <w:rsid w:val="002D3A74"/>
    <w:rsid w:val="002D5A3B"/>
    <w:rsid w:val="002D7DDE"/>
    <w:rsid w:val="002E033C"/>
    <w:rsid w:val="002E1DE2"/>
    <w:rsid w:val="002E2E9D"/>
    <w:rsid w:val="002E34EC"/>
    <w:rsid w:val="002E6FC0"/>
    <w:rsid w:val="002E708B"/>
    <w:rsid w:val="002E70CD"/>
    <w:rsid w:val="002F0C6A"/>
    <w:rsid w:val="002F0E63"/>
    <w:rsid w:val="002F3F12"/>
    <w:rsid w:val="002F4D1D"/>
    <w:rsid w:val="002F7204"/>
    <w:rsid w:val="002F7EE2"/>
    <w:rsid w:val="00304988"/>
    <w:rsid w:val="00311A3F"/>
    <w:rsid w:val="003144D2"/>
    <w:rsid w:val="00315151"/>
    <w:rsid w:val="003154E8"/>
    <w:rsid w:val="003164D7"/>
    <w:rsid w:val="00320BE4"/>
    <w:rsid w:val="00320F85"/>
    <w:rsid w:val="00322766"/>
    <w:rsid w:val="00325866"/>
    <w:rsid w:val="0032680D"/>
    <w:rsid w:val="00327A75"/>
    <w:rsid w:val="00332006"/>
    <w:rsid w:val="00333C60"/>
    <w:rsid w:val="00334021"/>
    <w:rsid w:val="0033443C"/>
    <w:rsid w:val="00334C40"/>
    <w:rsid w:val="00335AA4"/>
    <w:rsid w:val="00335AAF"/>
    <w:rsid w:val="00336B24"/>
    <w:rsid w:val="00340E56"/>
    <w:rsid w:val="0034255B"/>
    <w:rsid w:val="00342F39"/>
    <w:rsid w:val="00343A1B"/>
    <w:rsid w:val="00345FC7"/>
    <w:rsid w:val="00346E3D"/>
    <w:rsid w:val="003512F8"/>
    <w:rsid w:val="00353A3D"/>
    <w:rsid w:val="00354A9F"/>
    <w:rsid w:val="00361E86"/>
    <w:rsid w:val="0036305B"/>
    <w:rsid w:val="00363180"/>
    <w:rsid w:val="00364DFC"/>
    <w:rsid w:val="00364E09"/>
    <w:rsid w:val="00366E21"/>
    <w:rsid w:val="00370B13"/>
    <w:rsid w:val="003742E6"/>
    <w:rsid w:val="00376B45"/>
    <w:rsid w:val="00376E98"/>
    <w:rsid w:val="00377546"/>
    <w:rsid w:val="00380082"/>
    <w:rsid w:val="00380832"/>
    <w:rsid w:val="0038247F"/>
    <w:rsid w:val="003833BA"/>
    <w:rsid w:val="003850D6"/>
    <w:rsid w:val="00386882"/>
    <w:rsid w:val="00392061"/>
    <w:rsid w:val="00394D2D"/>
    <w:rsid w:val="003A14A4"/>
    <w:rsid w:val="003A3893"/>
    <w:rsid w:val="003A41CB"/>
    <w:rsid w:val="003A484B"/>
    <w:rsid w:val="003B415A"/>
    <w:rsid w:val="003B53BC"/>
    <w:rsid w:val="003B54B4"/>
    <w:rsid w:val="003B5C8D"/>
    <w:rsid w:val="003C13AE"/>
    <w:rsid w:val="003C3F21"/>
    <w:rsid w:val="003C41B5"/>
    <w:rsid w:val="003C5C79"/>
    <w:rsid w:val="003C6121"/>
    <w:rsid w:val="003C6E93"/>
    <w:rsid w:val="003D0F09"/>
    <w:rsid w:val="003D1673"/>
    <w:rsid w:val="003D19CF"/>
    <w:rsid w:val="003D4183"/>
    <w:rsid w:val="003D72C2"/>
    <w:rsid w:val="003E0FEA"/>
    <w:rsid w:val="003E130D"/>
    <w:rsid w:val="003E37A2"/>
    <w:rsid w:val="003E4797"/>
    <w:rsid w:val="003E4BCF"/>
    <w:rsid w:val="003E7211"/>
    <w:rsid w:val="003E732F"/>
    <w:rsid w:val="003E73B8"/>
    <w:rsid w:val="003E73C7"/>
    <w:rsid w:val="003F2E62"/>
    <w:rsid w:val="003F5917"/>
    <w:rsid w:val="003F6626"/>
    <w:rsid w:val="004046C5"/>
    <w:rsid w:val="00405D95"/>
    <w:rsid w:val="0040637B"/>
    <w:rsid w:val="004133AC"/>
    <w:rsid w:val="00413D41"/>
    <w:rsid w:val="00414B8D"/>
    <w:rsid w:val="0041528A"/>
    <w:rsid w:val="004208E7"/>
    <w:rsid w:val="004214A7"/>
    <w:rsid w:val="00422846"/>
    <w:rsid w:val="00422F40"/>
    <w:rsid w:val="00423974"/>
    <w:rsid w:val="00423B9E"/>
    <w:rsid w:val="0042513E"/>
    <w:rsid w:val="00425DC3"/>
    <w:rsid w:val="00426C48"/>
    <w:rsid w:val="004310D7"/>
    <w:rsid w:val="00433241"/>
    <w:rsid w:val="004339E4"/>
    <w:rsid w:val="0043419D"/>
    <w:rsid w:val="004367AA"/>
    <w:rsid w:val="004370D7"/>
    <w:rsid w:val="004374BF"/>
    <w:rsid w:val="00437CBB"/>
    <w:rsid w:val="00440A11"/>
    <w:rsid w:val="00440B32"/>
    <w:rsid w:val="00441DC8"/>
    <w:rsid w:val="004420F3"/>
    <w:rsid w:val="004427F8"/>
    <w:rsid w:val="00443696"/>
    <w:rsid w:val="0044510C"/>
    <w:rsid w:val="00445A3E"/>
    <w:rsid w:val="00451CC0"/>
    <w:rsid w:val="00452F33"/>
    <w:rsid w:val="0045400C"/>
    <w:rsid w:val="00454EDD"/>
    <w:rsid w:val="00454F83"/>
    <w:rsid w:val="00455A08"/>
    <w:rsid w:val="00455F40"/>
    <w:rsid w:val="004564C1"/>
    <w:rsid w:val="00456B1F"/>
    <w:rsid w:val="0045745D"/>
    <w:rsid w:val="00464507"/>
    <w:rsid w:val="00471B32"/>
    <w:rsid w:val="004729B3"/>
    <w:rsid w:val="00476B48"/>
    <w:rsid w:val="00476CC1"/>
    <w:rsid w:val="00477B91"/>
    <w:rsid w:val="004831C8"/>
    <w:rsid w:val="00483ADF"/>
    <w:rsid w:val="00487670"/>
    <w:rsid w:val="00487AE0"/>
    <w:rsid w:val="004909BE"/>
    <w:rsid w:val="004925B2"/>
    <w:rsid w:val="00493D59"/>
    <w:rsid w:val="00495425"/>
    <w:rsid w:val="00496089"/>
    <w:rsid w:val="004A1156"/>
    <w:rsid w:val="004A33FE"/>
    <w:rsid w:val="004A519D"/>
    <w:rsid w:val="004A6B24"/>
    <w:rsid w:val="004B5850"/>
    <w:rsid w:val="004B5F78"/>
    <w:rsid w:val="004C0318"/>
    <w:rsid w:val="004C0D0C"/>
    <w:rsid w:val="004C37C6"/>
    <w:rsid w:val="004C5B6A"/>
    <w:rsid w:val="004C7350"/>
    <w:rsid w:val="004D164F"/>
    <w:rsid w:val="004D1728"/>
    <w:rsid w:val="004D22F9"/>
    <w:rsid w:val="004D409E"/>
    <w:rsid w:val="004D67C0"/>
    <w:rsid w:val="004E1D60"/>
    <w:rsid w:val="004E24B3"/>
    <w:rsid w:val="004E5130"/>
    <w:rsid w:val="004E5BE6"/>
    <w:rsid w:val="004E5C39"/>
    <w:rsid w:val="004E7907"/>
    <w:rsid w:val="004F12BE"/>
    <w:rsid w:val="004F4D16"/>
    <w:rsid w:val="004F5CAA"/>
    <w:rsid w:val="004F7745"/>
    <w:rsid w:val="00500E24"/>
    <w:rsid w:val="00502A5D"/>
    <w:rsid w:val="00507071"/>
    <w:rsid w:val="00512026"/>
    <w:rsid w:val="00512495"/>
    <w:rsid w:val="0051438F"/>
    <w:rsid w:val="00517625"/>
    <w:rsid w:val="00517D4C"/>
    <w:rsid w:val="00522A0E"/>
    <w:rsid w:val="00523BB9"/>
    <w:rsid w:val="005248C7"/>
    <w:rsid w:val="00524BD7"/>
    <w:rsid w:val="00524F1E"/>
    <w:rsid w:val="00531BFC"/>
    <w:rsid w:val="0053521C"/>
    <w:rsid w:val="00541F70"/>
    <w:rsid w:val="00545484"/>
    <w:rsid w:val="00546CA2"/>
    <w:rsid w:val="005539C2"/>
    <w:rsid w:val="00560E61"/>
    <w:rsid w:val="00561E56"/>
    <w:rsid w:val="00562036"/>
    <w:rsid w:val="00563834"/>
    <w:rsid w:val="00564926"/>
    <w:rsid w:val="00564DC0"/>
    <w:rsid w:val="005652C4"/>
    <w:rsid w:val="00574981"/>
    <w:rsid w:val="00575926"/>
    <w:rsid w:val="005773B7"/>
    <w:rsid w:val="00580290"/>
    <w:rsid w:val="00582659"/>
    <w:rsid w:val="00586235"/>
    <w:rsid w:val="0058658D"/>
    <w:rsid w:val="00586615"/>
    <w:rsid w:val="0058752B"/>
    <w:rsid w:val="00591DBA"/>
    <w:rsid w:val="0059364A"/>
    <w:rsid w:val="005937F8"/>
    <w:rsid w:val="005A0209"/>
    <w:rsid w:val="005A070C"/>
    <w:rsid w:val="005A2BB7"/>
    <w:rsid w:val="005A4C40"/>
    <w:rsid w:val="005A576D"/>
    <w:rsid w:val="005B05E6"/>
    <w:rsid w:val="005B2AA8"/>
    <w:rsid w:val="005B3AF0"/>
    <w:rsid w:val="005B6A51"/>
    <w:rsid w:val="005C1D18"/>
    <w:rsid w:val="005C448A"/>
    <w:rsid w:val="005C4726"/>
    <w:rsid w:val="005C56E0"/>
    <w:rsid w:val="005C6643"/>
    <w:rsid w:val="005D22CC"/>
    <w:rsid w:val="005D3DEB"/>
    <w:rsid w:val="005E0918"/>
    <w:rsid w:val="005E1A71"/>
    <w:rsid w:val="005E40F1"/>
    <w:rsid w:val="005E7788"/>
    <w:rsid w:val="005F024D"/>
    <w:rsid w:val="005F1A94"/>
    <w:rsid w:val="005F327D"/>
    <w:rsid w:val="005F3C95"/>
    <w:rsid w:val="005F7505"/>
    <w:rsid w:val="00604055"/>
    <w:rsid w:val="00604BE3"/>
    <w:rsid w:val="00606034"/>
    <w:rsid w:val="00614752"/>
    <w:rsid w:val="00623997"/>
    <w:rsid w:val="006266B3"/>
    <w:rsid w:val="0062684F"/>
    <w:rsid w:val="006274AC"/>
    <w:rsid w:val="006320E1"/>
    <w:rsid w:val="0063421D"/>
    <w:rsid w:val="00640048"/>
    <w:rsid w:val="006404CD"/>
    <w:rsid w:val="00642858"/>
    <w:rsid w:val="00642D39"/>
    <w:rsid w:val="006476B1"/>
    <w:rsid w:val="00653B2F"/>
    <w:rsid w:val="00654A88"/>
    <w:rsid w:val="006618D5"/>
    <w:rsid w:val="006633F9"/>
    <w:rsid w:val="006639D1"/>
    <w:rsid w:val="006666F9"/>
    <w:rsid w:val="00667811"/>
    <w:rsid w:val="006678D9"/>
    <w:rsid w:val="00670AB7"/>
    <w:rsid w:val="00671F64"/>
    <w:rsid w:val="00672682"/>
    <w:rsid w:val="00674AC7"/>
    <w:rsid w:val="00681487"/>
    <w:rsid w:val="00683D49"/>
    <w:rsid w:val="00684CC6"/>
    <w:rsid w:val="00687F44"/>
    <w:rsid w:val="0069062B"/>
    <w:rsid w:val="00690D32"/>
    <w:rsid w:val="00691767"/>
    <w:rsid w:val="00692DF3"/>
    <w:rsid w:val="006A2838"/>
    <w:rsid w:val="006B2140"/>
    <w:rsid w:val="006B2198"/>
    <w:rsid w:val="006B5200"/>
    <w:rsid w:val="006B7279"/>
    <w:rsid w:val="006C0C80"/>
    <w:rsid w:val="006C1C12"/>
    <w:rsid w:val="006C3C68"/>
    <w:rsid w:val="006C4B9E"/>
    <w:rsid w:val="006C6F08"/>
    <w:rsid w:val="006D0981"/>
    <w:rsid w:val="006D0E0B"/>
    <w:rsid w:val="006D252E"/>
    <w:rsid w:val="006D4B52"/>
    <w:rsid w:val="006D64AB"/>
    <w:rsid w:val="006D6B42"/>
    <w:rsid w:val="006D703F"/>
    <w:rsid w:val="006E1498"/>
    <w:rsid w:val="006E1FA4"/>
    <w:rsid w:val="006E2438"/>
    <w:rsid w:val="006F0C8F"/>
    <w:rsid w:val="006F1663"/>
    <w:rsid w:val="006F28AC"/>
    <w:rsid w:val="006F3FC2"/>
    <w:rsid w:val="00701205"/>
    <w:rsid w:val="00701473"/>
    <w:rsid w:val="00701DF4"/>
    <w:rsid w:val="00702B65"/>
    <w:rsid w:val="00702DAE"/>
    <w:rsid w:val="00703103"/>
    <w:rsid w:val="00703859"/>
    <w:rsid w:val="00704DEB"/>
    <w:rsid w:val="00704F33"/>
    <w:rsid w:val="0070506C"/>
    <w:rsid w:val="00710949"/>
    <w:rsid w:val="00712D8A"/>
    <w:rsid w:val="00713E11"/>
    <w:rsid w:val="0071684F"/>
    <w:rsid w:val="00720953"/>
    <w:rsid w:val="00724AE3"/>
    <w:rsid w:val="00725FBA"/>
    <w:rsid w:val="00727B71"/>
    <w:rsid w:val="0073204A"/>
    <w:rsid w:val="00733552"/>
    <w:rsid w:val="007343F2"/>
    <w:rsid w:val="00734A01"/>
    <w:rsid w:val="00734C19"/>
    <w:rsid w:val="00735295"/>
    <w:rsid w:val="007358B9"/>
    <w:rsid w:val="007365A4"/>
    <w:rsid w:val="00741C10"/>
    <w:rsid w:val="00743B79"/>
    <w:rsid w:val="00747CE6"/>
    <w:rsid w:val="0075024D"/>
    <w:rsid w:val="00750C7C"/>
    <w:rsid w:val="007514CD"/>
    <w:rsid w:val="007573F1"/>
    <w:rsid w:val="0075791A"/>
    <w:rsid w:val="0076403E"/>
    <w:rsid w:val="00764B80"/>
    <w:rsid w:val="00764DCD"/>
    <w:rsid w:val="00764F4E"/>
    <w:rsid w:val="00772C7F"/>
    <w:rsid w:val="00773091"/>
    <w:rsid w:val="0077320F"/>
    <w:rsid w:val="00776057"/>
    <w:rsid w:val="0078503B"/>
    <w:rsid w:val="00785CA4"/>
    <w:rsid w:val="00785E4A"/>
    <w:rsid w:val="00790A9E"/>
    <w:rsid w:val="00790E17"/>
    <w:rsid w:val="00792B4C"/>
    <w:rsid w:val="00794E07"/>
    <w:rsid w:val="007975DE"/>
    <w:rsid w:val="00797A17"/>
    <w:rsid w:val="007A1B38"/>
    <w:rsid w:val="007A5335"/>
    <w:rsid w:val="007A6C62"/>
    <w:rsid w:val="007A7E90"/>
    <w:rsid w:val="007B08BD"/>
    <w:rsid w:val="007B1B71"/>
    <w:rsid w:val="007B396A"/>
    <w:rsid w:val="007B3D04"/>
    <w:rsid w:val="007B6E38"/>
    <w:rsid w:val="007B79C3"/>
    <w:rsid w:val="007C5383"/>
    <w:rsid w:val="007C6895"/>
    <w:rsid w:val="007D1F52"/>
    <w:rsid w:val="007D5E9F"/>
    <w:rsid w:val="007E390B"/>
    <w:rsid w:val="007E4664"/>
    <w:rsid w:val="007E5D6A"/>
    <w:rsid w:val="007F0604"/>
    <w:rsid w:val="007F1157"/>
    <w:rsid w:val="007F3EE7"/>
    <w:rsid w:val="007F5669"/>
    <w:rsid w:val="007F5E94"/>
    <w:rsid w:val="00803BF3"/>
    <w:rsid w:val="008043C3"/>
    <w:rsid w:val="0080573F"/>
    <w:rsid w:val="00807629"/>
    <w:rsid w:val="008101ED"/>
    <w:rsid w:val="00811C84"/>
    <w:rsid w:val="008120AD"/>
    <w:rsid w:val="00812505"/>
    <w:rsid w:val="00813502"/>
    <w:rsid w:val="0082090D"/>
    <w:rsid w:val="00821ED5"/>
    <w:rsid w:val="008225B7"/>
    <w:rsid w:val="00823344"/>
    <w:rsid w:val="008277FC"/>
    <w:rsid w:val="008306B1"/>
    <w:rsid w:val="00832284"/>
    <w:rsid w:val="008324AC"/>
    <w:rsid w:val="00835451"/>
    <w:rsid w:val="00840CF7"/>
    <w:rsid w:val="008419F9"/>
    <w:rsid w:val="008432B4"/>
    <w:rsid w:val="00843BB0"/>
    <w:rsid w:val="008442A6"/>
    <w:rsid w:val="00845193"/>
    <w:rsid w:val="008453A1"/>
    <w:rsid w:val="008468FA"/>
    <w:rsid w:val="008476C5"/>
    <w:rsid w:val="00847FEC"/>
    <w:rsid w:val="008503D3"/>
    <w:rsid w:val="00850B11"/>
    <w:rsid w:val="008510A0"/>
    <w:rsid w:val="0085186D"/>
    <w:rsid w:val="00853852"/>
    <w:rsid w:val="00855EB6"/>
    <w:rsid w:val="0085655D"/>
    <w:rsid w:val="00857343"/>
    <w:rsid w:val="008577E4"/>
    <w:rsid w:val="00857933"/>
    <w:rsid w:val="008606B2"/>
    <w:rsid w:val="008642D2"/>
    <w:rsid w:val="00866CB8"/>
    <w:rsid w:val="0087209A"/>
    <w:rsid w:val="0087452F"/>
    <w:rsid w:val="00875F8A"/>
    <w:rsid w:val="008766F2"/>
    <w:rsid w:val="00876DE3"/>
    <w:rsid w:val="008827CF"/>
    <w:rsid w:val="00882D60"/>
    <w:rsid w:val="0088406B"/>
    <w:rsid w:val="00884395"/>
    <w:rsid w:val="008843C5"/>
    <w:rsid w:val="00890E7D"/>
    <w:rsid w:val="008927A8"/>
    <w:rsid w:val="008A09A3"/>
    <w:rsid w:val="008A12EA"/>
    <w:rsid w:val="008A1B83"/>
    <w:rsid w:val="008A5966"/>
    <w:rsid w:val="008A7E1B"/>
    <w:rsid w:val="008A7E6D"/>
    <w:rsid w:val="008B0757"/>
    <w:rsid w:val="008B0F6F"/>
    <w:rsid w:val="008B1403"/>
    <w:rsid w:val="008B389A"/>
    <w:rsid w:val="008B4725"/>
    <w:rsid w:val="008B777C"/>
    <w:rsid w:val="008C0760"/>
    <w:rsid w:val="008C0E72"/>
    <w:rsid w:val="008C46B9"/>
    <w:rsid w:val="008C6C41"/>
    <w:rsid w:val="008D0285"/>
    <w:rsid w:val="008D4E89"/>
    <w:rsid w:val="008D7D57"/>
    <w:rsid w:val="008E4696"/>
    <w:rsid w:val="008E5D34"/>
    <w:rsid w:val="008F0779"/>
    <w:rsid w:val="008F10B9"/>
    <w:rsid w:val="008F1C95"/>
    <w:rsid w:val="008F24BE"/>
    <w:rsid w:val="008F2509"/>
    <w:rsid w:val="008F343A"/>
    <w:rsid w:val="008F5BF1"/>
    <w:rsid w:val="008F6371"/>
    <w:rsid w:val="008F64C6"/>
    <w:rsid w:val="00902A27"/>
    <w:rsid w:val="009101B2"/>
    <w:rsid w:val="009145B1"/>
    <w:rsid w:val="00916E03"/>
    <w:rsid w:val="00917E80"/>
    <w:rsid w:val="00921380"/>
    <w:rsid w:val="00922B80"/>
    <w:rsid w:val="00923C23"/>
    <w:rsid w:val="009325AE"/>
    <w:rsid w:val="00937772"/>
    <w:rsid w:val="00940520"/>
    <w:rsid w:val="009418C7"/>
    <w:rsid w:val="00942CC2"/>
    <w:rsid w:val="00943464"/>
    <w:rsid w:val="009453DB"/>
    <w:rsid w:val="0094573D"/>
    <w:rsid w:val="009478A8"/>
    <w:rsid w:val="00951B73"/>
    <w:rsid w:val="0095472A"/>
    <w:rsid w:val="0096128A"/>
    <w:rsid w:val="009625A8"/>
    <w:rsid w:val="00963678"/>
    <w:rsid w:val="00972567"/>
    <w:rsid w:val="00972D07"/>
    <w:rsid w:val="009731BD"/>
    <w:rsid w:val="00973CAB"/>
    <w:rsid w:val="00975704"/>
    <w:rsid w:val="00976D86"/>
    <w:rsid w:val="00981CE2"/>
    <w:rsid w:val="009822DF"/>
    <w:rsid w:val="00984B15"/>
    <w:rsid w:val="00986B26"/>
    <w:rsid w:val="0098787E"/>
    <w:rsid w:val="00990D97"/>
    <w:rsid w:val="00991BF9"/>
    <w:rsid w:val="00994B67"/>
    <w:rsid w:val="0099567E"/>
    <w:rsid w:val="00996936"/>
    <w:rsid w:val="009A0770"/>
    <w:rsid w:val="009A7D26"/>
    <w:rsid w:val="009A7DAA"/>
    <w:rsid w:val="009A7E84"/>
    <w:rsid w:val="009B16E6"/>
    <w:rsid w:val="009B2098"/>
    <w:rsid w:val="009B212A"/>
    <w:rsid w:val="009B42A0"/>
    <w:rsid w:val="009C0A54"/>
    <w:rsid w:val="009C0BB2"/>
    <w:rsid w:val="009C276F"/>
    <w:rsid w:val="009C6CD2"/>
    <w:rsid w:val="009C6EB5"/>
    <w:rsid w:val="009D1321"/>
    <w:rsid w:val="009D1FDD"/>
    <w:rsid w:val="009D3E2D"/>
    <w:rsid w:val="009D51E3"/>
    <w:rsid w:val="009D5588"/>
    <w:rsid w:val="009D5763"/>
    <w:rsid w:val="009E02FE"/>
    <w:rsid w:val="009E13BB"/>
    <w:rsid w:val="009E6FFF"/>
    <w:rsid w:val="009E7A32"/>
    <w:rsid w:val="009E7EAD"/>
    <w:rsid w:val="009F7F2A"/>
    <w:rsid w:val="00A04806"/>
    <w:rsid w:val="00A05282"/>
    <w:rsid w:val="00A12922"/>
    <w:rsid w:val="00A15634"/>
    <w:rsid w:val="00A1615D"/>
    <w:rsid w:val="00A16FBA"/>
    <w:rsid w:val="00A23FA1"/>
    <w:rsid w:val="00A27C27"/>
    <w:rsid w:val="00A3010F"/>
    <w:rsid w:val="00A309CA"/>
    <w:rsid w:val="00A30B26"/>
    <w:rsid w:val="00A35333"/>
    <w:rsid w:val="00A36FD5"/>
    <w:rsid w:val="00A371B7"/>
    <w:rsid w:val="00A42FCF"/>
    <w:rsid w:val="00A461F1"/>
    <w:rsid w:val="00A461FC"/>
    <w:rsid w:val="00A4759B"/>
    <w:rsid w:val="00A47CEE"/>
    <w:rsid w:val="00A508A4"/>
    <w:rsid w:val="00A51002"/>
    <w:rsid w:val="00A5119D"/>
    <w:rsid w:val="00A52BCC"/>
    <w:rsid w:val="00A640BB"/>
    <w:rsid w:val="00A65F04"/>
    <w:rsid w:val="00A712A7"/>
    <w:rsid w:val="00A71646"/>
    <w:rsid w:val="00A71722"/>
    <w:rsid w:val="00A73A31"/>
    <w:rsid w:val="00A73C1B"/>
    <w:rsid w:val="00A74482"/>
    <w:rsid w:val="00A74D20"/>
    <w:rsid w:val="00A752CC"/>
    <w:rsid w:val="00A75FDF"/>
    <w:rsid w:val="00A858A8"/>
    <w:rsid w:val="00A92A36"/>
    <w:rsid w:val="00A94AD5"/>
    <w:rsid w:val="00A954EC"/>
    <w:rsid w:val="00AA1931"/>
    <w:rsid w:val="00AA3D08"/>
    <w:rsid w:val="00AA4C6F"/>
    <w:rsid w:val="00AA5CD5"/>
    <w:rsid w:val="00AA62C7"/>
    <w:rsid w:val="00AA6D4B"/>
    <w:rsid w:val="00AA747E"/>
    <w:rsid w:val="00AB201E"/>
    <w:rsid w:val="00AC2833"/>
    <w:rsid w:val="00AC2CEF"/>
    <w:rsid w:val="00AC3355"/>
    <w:rsid w:val="00AC41D9"/>
    <w:rsid w:val="00AD169A"/>
    <w:rsid w:val="00AD452E"/>
    <w:rsid w:val="00AD4904"/>
    <w:rsid w:val="00AD53E8"/>
    <w:rsid w:val="00AD6C7F"/>
    <w:rsid w:val="00AE016D"/>
    <w:rsid w:val="00AE0420"/>
    <w:rsid w:val="00AE1890"/>
    <w:rsid w:val="00AE5323"/>
    <w:rsid w:val="00AE58E3"/>
    <w:rsid w:val="00AF0100"/>
    <w:rsid w:val="00AF01B8"/>
    <w:rsid w:val="00AF118B"/>
    <w:rsid w:val="00AF5452"/>
    <w:rsid w:val="00B00BCF"/>
    <w:rsid w:val="00B02B55"/>
    <w:rsid w:val="00B040C6"/>
    <w:rsid w:val="00B1341D"/>
    <w:rsid w:val="00B15933"/>
    <w:rsid w:val="00B2055D"/>
    <w:rsid w:val="00B23123"/>
    <w:rsid w:val="00B2712A"/>
    <w:rsid w:val="00B27786"/>
    <w:rsid w:val="00B27F4E"/>
    <w:rsid w:val="00B336A1"/>
    <w:rsid w:val="00B401B5"/>
    <w:rsid w:val="00B44C65"/>
    <w:rsid w:val="00B457A8"/>
    <w:rsid w:val="00B46861"/>
    <w:rsid w:val="00B470F2"/>
    <w:rsid w:val="00B5058E"/>
    <w:rsid w:val="00B52CD5"/>
    <w:rsid w:val="00B549B1"/>
    <w:rsid w:val="00B550A3"/>
    <w:rsid w:val="00B557EB"/>
    <w:rsid w:val="00B55DA0"/>
    <w:rsid w:val="00B5615C"/>
    <w:rsid w:val="00B56E3D"/>
    <w:rsid w:val="00B610E0"/>
    <w:rsid w:val="00B63633"/>
    <w:rsid w:val="00B63FBE"/>
    <w:rsid w:val="00B6460F"/>
    <w:rsid w:val="00B66895"/>
    <w:rsid w:val="00B730B5"/>
    <w:rsid w:val="00B735F2"/>
    <w:rsid w:val="00B73D12"/>
    <w:rsid w:val="00B74B91"/>
    <w:rsid w:val="00B75203"/>
    <w:rsid w:val="00B8085C"/>
    <w:rsid w:val="00B81480"/>
    <w:rsid w:val="00B93FB3"/>
    <w:rsid w:val="00BA1195"/>
    <w:rsid w:val="00BA1526"/>
    <w:rsid w:val="00BA15D1"/>
    <w:rsid w:val="00BA1A39"/>
    <w:rsid w:val="00BA4C96"/>
    <w:rsid w:val="00BA6642"/>
    <w:rsid w:val="00BB11AB"/>
    <w:rsid w:val="00BB21BB"/>
    <w:rsid w:val="00BB224E"/>
    <w:rsid w:val="00BB2D96"/>
    <w:rsid w:val="00BB3A9A"/>
    <w:rsid w:val="00BB595D"/>
    <w:rsid w:val="00BC0F4D"/>
    <w:rsid w:val="00BC11EB"/>
    <w:rsid w:val="00BC2997"/>
    <w:rsid w:val="00BC4E74"/>
    <w:rsid w:val="00BC56D4"/>
    <w:rsid w:val="00BD59DB"/>
    <w:rsid w:val="00BD5A3C"/>
    <w:rsid w:val="00BE2B8B"/>
    <w:rsid w:val="00BE3A20"/>
    <w:rsid w:val="00BE671D"/>
    <w:rsid w:val="00BE7DEE"/>
    <w:rsid w:val="00BF20A6"/>
    <w:rsid w:val="00BF5EC3"/>
    <w:rsid w:val="00BF64BE"/>
    <w:rsid w:val="00BF7B5C"/>
    <w:rsid w:val="00C000D2"/>
    <w:rsid w:val="00C01B98"/>
    <w:rsid w:val="00C0590A"/>
    <w:rsid w:val="00C0593F"/>
    <w:rsid w:val="00C1050E"/>
    <w:rsid w:val="00C111C5"/>
    <w:rsid w:val="00C12867"/>
    <w:rsid w:val="00C1387A"/>
    <w:rsid w:val="00C15FE4"/>
    <w:rsid w:val="00C249DA"/>
    <w:rsid w:val="00C26EFD"/>
    <w:rsid w:val="00C34AF0"/>
    <w:rsid w:val="00C35770"/>
    <w:rsid w:val="00C36D92"/>
    <w:rsid w:val="00C44DDD"/>
    <w:rsid w:val="00C46C48"/>
    <w:rsid w:val="00C46F1C"/>
    <w:rsid w:val="00C47FA0"/>
    <w:rsid w:val="00C50514"/>
    <w:rsid w:val="00C529AA"/>
    <w:rsid w:val="00C55400"/>
    <w:rsid w:val="00C63733"/>
    <w:rsid w:val="00C63D31"/>
    <w:rsid w:val="00C7421B"/>
    <w:rsid w:val="00C81A47"/>
    <w:rsid w:val="00C81B63"/>
    <w:rsid w:val="00C834B5"/>
    <w:rsid w:val="00C8485F"/>
    <w:rsid w:val="00C86457"/>
    <w:rsid w:val="00C879EF"/>
    <w:rsid w:val="00C93F21"/>
    <w:rsid w:val="00C9576F"/>
    <w:rsid w:val="00C959B6"/>
    <w:rsid w:val="00C96A8F"/>
    <w:rsid w:val="00CA7EEF"/>
    <w:rsid w:val="00CB1241"/>
    <w:rsid w:val="00CB3158"/>
    <w:rsid w:val="00CB5DE4"/>
    <w:rsid w:val="00CC1B2B"/>
    <w:rsid w:val="00CC236E"/>
    <w:rsid w:val="00CC3E15"/>
    <w:rsid w:val="00CD2343"/>
    <w:rsid w:val="00CD6487"/>
    <w:rsid w:val="00CD7172"/>
    <w:rsid w:val="00CE1A5C"/>
    <w:rsid w:val="00CE4E85"/>
    <w:rsid w:val="00CE766D"/>
    <w:rsid w:val="00CF0699"/>
    <w:rsid w:val="00D00AD4"/>
    <w:rsid w:val="00D013B5"/>
    <w:rsid w:val="00D02C15"/>
    <w:rsid w:val="00D0475D"/>
    <w:rsid w:val="00D06AC0"/>
    <w:rsid w:val="00D07391"/>
    <w:rsid w:val="00D11117"/>
    <w:rsid w:val="00D14639"/>
    <w:rsid w:val="00D14B8C"/>
    <w:rsid w:val="00D1627D"/>
    <w:rsid w:val="00D165BE"/>
    <w:rsid w:val="00D16F7B"/>
    <w:rsid w:val="00D176C1"/>
    <w:rsid w:val="00D22D2C"/>
    <w:rsid w:val="00D25599"/>
    <w:rsid w:val="00D33CC8"/>
    <w:rsid w:val="00D3604A"/>
    <w:rsid w:val="00D363C3"/>
    <w:rsid w:val="00D36A6C"/>
    <w:rsid w:val="00D40C5A"/>
    <w:rsid w:val="00D41D59"/>
    <w:rsid w:val="00D44361"/>
    <w:rsid w:val="00D44834"/>
    <w:rsid w:val="00D45D9C"/>
    <w:rsid w:val="00D51F32"/>
    <w:rsid w:val="00D5210B"/>
    <w:rsid w:val="00D52BBE"/>
    <w:rsid w:val="00D57501"/>
    <w:rsid w:val="00D60972"/>
    <w:rsid w:val="00D621F0"/>
    <w:rsid w:val="00D65C63"/>
    <w:rsid w:val="00D65D7C"/>
    <w:rsid w:val="00D664BA"/>
    <w:rsid w:val="00D66E48"/>
    <w:rsid w:val="00D6791C"/>
    <w:rsid w:val="00D73EDF"/>
    <w:rsid w:val="00D76E6F"/>
    <w:rsid w:val="00D80A5E"/>
    <w:rsid w:val="00D83529"/>
    <w:rsid w:val="00D9040E"/>
    <w:rsid w:val="00D9047A"/>
    <w:rsid w:val="00D95A6A"/>
    <w:rsid w:val="00D95E2D"/>
    <w:rsid w:val="00D96605"/>
    <w:rsid w:val="00D976C9"/>
    <w:rsid w:val="00DA0DEB"/>
    <w:rsid w:val="00DA1250"/>
    <w:rsid w:val="00DA5F09"/>
    <w:rsid w:val="00DB0DBF"/>
    <w:rsid w:val="00DB0DD2"/>
    <w:rsid w:val="00DB1C4B"/>
    <w:rsid w:val="00DB3C3E"/>
    <w:rsid w:val="00DB688C"/>
    <w:rsid w:val="00DC2151"/>
    <w:rsid w:val="00DC23F2"/>
    <w:rsid w:val="00DC2DA3"/>
    <w:rsid w:val="00DC3A57"/>
    <w:rsid w:val="00DC3D47"/>
    <w:rsid w:val="00DC4560"/>
    <w:rsid w:val="00DD0A40"/>
    <w:rsid w:val="00DD26B9"/>
    <w:rsid w:val="00DD2D8D"/>
    <w:rsid w:val="00DD4175"/>
    <w:rsid w:val="00DD436B"/>
    <w:rsid w:val="00DD7B37"/>
    <w:rsid w:val="00DE0659"/>
    <w:rsid w:val="00DE12FC"/>
    <w:rsid w:val="00DE3FBC"/>
    <w:rsid w:val="00DE6B36"/>
    <w:rsid w:val="00DF261F"/>
    <w:rsid w:val="00DF39D1"/>
    <w:rsid w:val="00DF54A3"/>
    <w:rsid w:val="00E02ACE"/>
    <w:rsid w:val="00E038CB"/>
    <w:rsid w:val="00E047A2"/>
    <w:rsid w:val="00E05F82"/>
    <w:rsid w:val="00E066D2"/>
    <w:rsid w:val="00E06E17"/>
    <w:rsid w:val="00E12DAC"/>
    <w:rsid w:val="00E13845"/>
    <w:rsid w:val="00E15ADF"/>
    <w:rsid w:val="00E16825"/>
    <w:rsid w:val="00E2022D"/>
    <w:rsid w:val="00E20F9F"/>
    <w:rsid w:val="00E21C44"/>
    <w:rsid w:val="00E250DD"/>
    <w:rsid w:val="00E307BD"/>
    <w:rsid w:val="00E334F2"/>
    <w:rsid w:val="00E370A8"/>
    <w:rsid w:val="00E374A2"/>
    <w:rsid w:val="00E40AF1"/>
    <w:rsid w:val="00E422DF"/>
    <w:rsid w:val="00E44072"/>
    <w:rsid w:val="00E44985"/>
    <w:rsid w:val="00E4762A"/>
    <w:rsid w:val="00E47B0D"/>
    <w:rsid w:val="00E52A06"/>
    <w:rsid w:val="00E531D2"/>
    <w:rsid w:val="00E54912"/>
    <w:rsid w:val="00E55854"/>
    <w:rsid w:val="00E55B7E"/>
    <w:rsid w:val="00E56595"/>
    <w:rsid w:val="00E57535"/>
    <w:rsid w:val="00E60153"/>
    <w:rsid w:val="00E60A5D"/>
    <w:rsid w:val="00E60DF2"/>
    <w:rsid w:val="00E610B1"/>
    <w:rsid w:val="00E66B0C"/>
    <w:rsid w:val="00E73614"/>
    <w:rsid w:val="00E748CC"/>
    <w:rsid w:val="00E75EB7"/>
    <w:rsid w:val="00E807BB"/>
    <w:rsid w:val="00E83E30"/>
    <w:rsid w:val="00E85E68"/>
    <w:rsid w:val="00E9261E"/>
    <w:rsid w:val="00E92A38"/>
    <w:rsid w:val="00E945B1"/>
    <w:rsid w:val="00E9752F"/>
    <w:rsid w:val="00EA0380"/>
    <w:rsid w:val="00EA1287"/>
    <w:rsid w:val="00EA34F1"/>
    <w:rsid w:val="00EA6BF6"/>
    <w:rsid w:val="00EB7782"/>
    <w:rsid w:val="00EC7E40"/>
    <w:rsid w:val="00ED09A9"/>
    <w:rsid w:val="00ED397B"/>
    <w:rsid w:val="00EE0141"/>
    <w:rsid w:val="00EE05C6"/>
    <w:rsid w:val="00EE28AF"/>
    <w:rsid w:val="00EE4294"/>
    <w:rsid w:val="00EE44BE"/>
    <w:rsid w:val="00EE4C41"/>
    <w:rsid w:val="00EE7403"/>
    <w:rsid w:val="00EE7CCB"/>
    <w:rsid w:val="00EF34E8"/>
    <w:rsid w:val="00EF3798"/>
    <w:rsid w:val="00F009C0"/>
    <w:rsid w:val="00F04EF1"/>
    <w:rsid w:val="00F052B7"/>
    <w:rsid w:val="00F068F3"/>
    <w:rsid w:val="00F06CCD"/>
    <w:rsid w:val="00F106CD"/>
    <w:rsid w:val="00F13DB6"/>
    <w:rsid w:val="00F16645"/>
    <w:rsid w:val="00F30015"/>
    <w:rsid w:val="00F30EB2"/>
    <w:rsid w:val="00F31957"/>
    <w:rsid w:val="00F3243D"/>
    <w:rsid w:val="00F330F4"/>
    <w:rsid w:val="00F33D19"/>
    <w:rsid w:val="00F35489"/>
    <w:rsid w:val="00F362D4"/>
    <w:rsid w:val="00F37591"/>
    <w:rsid w:val="00F37775"/>
    <w:rsid w:val="00F43B7B"/>
    <w:rsid w:val="00F43FF1"/>
    <w:rsid w:val="00F4409E"/>
    <w:rsid w:val="00F4487A"/>
    <w:rsid w:val="00F44E54"/>
    <w:rsid w:val="00F47A46"/>
    <w:rsid w:val="00F50C0D"/>
    <w:rsid w:val="00F51F95"/>
    <w:rsid w:val="00F60CAE"/>
    <w:rsid w:val="00F71BCF"/>
    <w:rsid w:val="00F72096"/>
    <w:rsid w:val="00F7384A"/>
    <w:rsid w:val="00F751A6"/>
    <w:rsid w:val="00F80167"/>
    <w:rsid w:val="00F81AC3"/>
    <w:rsid w:val="00F82194"/>
    <w:rsid w:val="00F82E00"/>
    <w:rsid w:val="00F834E1"/>
    <w:rsid w:val="00F84925"/>
    <w:rsid w:val="00F87E7F"/>
    <w:rsid w:val="00F909D8"/>
    <w:rsid w:val="00F91BC6"/>
    <w:rsid w:val="00F9268E"/>
    <w:rsid w:val="00F946CD"/>
    <w:rsid w:val="00F97492"/>
    <w:rsid w:val="00FA0569"/>
    <w:rsid w:val="00FA05D4"/>
    <w:rsid w:val="00FA0B08"/>
    <w:rsid w:val="00FA1559"/>
    <w:rsid w:val="00FA25A3"/>
    <w:rsid w:val="00FB06F9"/>
    <w:rsid w:val="00FB3212"/>
    <w:rsid w:val="00FB43F3"/>
    <w:rsid w:val="00FB4674"/>
    <w:rsid w:val="00FB5206"/>
    <w:rsid w:val="00FB6A98"/>
    <w:rsid w:val="00FB76CF"/>
    <w:rsid w:val="00FC61E0"/>
    <w:rsid w:val="00FD22DD"/>
    <w:rsid w:val="00FD2654"/>
    <w:rsid w:val="00FD6F71"/>
    <w:rsid w:val="00FD79DA"/>
    <w:rsid w:val="00FE0BB1"/>
    <w:rsid w:val="00FE203E"/>
    <w:rsid w:val="00FE4E39"/>
    <w:rsid w:val="00FF10DF"/>
    <w:rsid w:val="00FF2EE0"/>
    <w:rsid w:val="00FF5853"/>
    <w:rsid w:val="00FF727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9DEAC"/>
  <w15:docId w15:val="{50803871-3FD2-43C9-95B1-F54447EB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48"/>
  </w:style>
  <w:style w:type="paragraph" w:styleId="Heading1">
    <w:name w:val="heading 1"/>
    <w:basedOn w:val="Normal"/>
    <w:next w:val="Normal"/>
    <w:link w:val="Heading1Char"/>
    <w:qFormat/>
    <w:rsid w:val="00B550A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6CCD"/>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apple-converted-space">
    <w:name w:val="apple-converted-space"/>
    <w:basedOn w:val="DefaultParagraphFont"/>
    <w:rsid w:val="00F06CCD"/>
  </w:style>
  <w:style w:type="character" w:styleId="Hyperlink">
    <w:name w:val="Hyperlink"/>
    <w:basedOn w:val="DefaultParagraphFont"/>
    <w:uiPriority w:val="99"/>
    <w:unhideWhenUsed/>
    <w:rsid w:val="00F06CCD"/>
    <w:rPr>
      <w:color w:val="0000FF"/>
      <w:u w:val="single"/>
    </w:rPr>
  </w:style>
  <w:style w:type="paragraph" w:styleId="ListParagraph">
    <w:name w:val="List Paragraph"/>
    <w:basedOn w:val="Normal"/>
    <w:uiPriority w:val="34"/>
    <w:qFormat/>
    <w:rsid w:val="00790A9E"/>
    <w:pPr>
      <w:ind w:left="720"/>
      <w:contextualSpacing/>
    </w:pPr>
  </w:style>
  <w:style w:type="paragraph" w:styleId="BalloonText">
    <w:name w:val="Balloon Text"/>
    <w:basedOn w:val="Normal"/>
    <w:link w:val="BalloonTextChar"/>
    <w:uiPriority w:val="99"/>
    <w:semiHidden/>
    <w:unhideWhenUsed/>
    <w:rsid w:val="007014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473"/>
    <w:rPr>
      <w:rFonts w:ascii="Segoe UI" w:hAnsi="Segoe UI" w:cs="Segoe UI"/>
      <w:sz w:val="18"/>
      <w:szCs w:val="18"/>
    </w:rPr>
  </w:style>
  <w:style w:type="character" w:customStyle="1" w:styleId="Heading1Char">
    <w:name w:val="Heading 1 Char"/>
    <w:basedOn w:val="DefaultParagraphFont"/>
    <w:link w:val="Heading1"/>
    <w:rsid w:val="00B550A3"/>
    <w:rPr>
      <w:rFonts w:ascii="Arial" w:eastAsia="Times New Roman" w:hAnsi="Arial" w:cs="Arial"/>
      <w:b/>
      <w:bCs/>
      <w:kern w:val="32"/>
      <w:sz w:val="32"/>
      <w:szCs w:val="32"/>
      <w:lang w:val="en-US"/>
    </w:rPr>
  </w:style>
  <w:style w:type="paragraph" w:customStyle="1" w:styleId="abc">
    <w:name w:val="abc"/>
    <w:basedOn w:val="Normal"/>
    <w:rsid w:val="00B550A3"/>
    <w:pPr>
      <w:autoSpaceDE w:val="0"/>
      <w:autoSpaceDN w:val="0"/>
      <w:spacing w:after="0" w:line="240" w:lineRule="auto"/>
    </w:pPr>
    <w:rPr>
      <w:rFonts w:ascii=".VnTime" w:eastAsia="Times New Roman" w:hAnsi=".VnTime" w:cs=".VnTime"/>
      <w:sz w:val="24"/>
      <w:szCs w:val="24"/>
      <w:lang w:val="en-US"/>
    </w:rPr>
  </w:style>
  <w:style w:type="paragraph" w:customStyle="1" w:styleId="daude1">
    <w:name w:val="daude1"/>
    <w:basedOn w:val="Heading1"/>
    <w:rsid w:val="00B550A3"/>
    <w:pPr>
      <w:autoSpaceDE w:val="0"/>
      <w:autoSpaceDN w:val="0"/>
      <w:spacing w:before="120" w:line="240" w:lineRule="exact"/>
      <w:outlineLvl w:val="9"/>
    </w:pPr>
    <w:rPr>
      <w:rFonts w:ascii=".VnArial" w:hAnsi=".VnArial" w:cs=".VnArial"/>
      <w:kern w:val="28"/>
      <w:sz w:val="28"/>
      <w:szCs w:val="28"/>
    </w:rPr>
  </w:style>
  <w:style w:type="paragraph" w:customStyle="1" w:styleId="daudrfom">
    <w:name w:val="daudrfom"/>
    <w:basedOn w:val="daude1"/>
    <w:rsid w:val="00B550A3"/>
    <w:rPr>
      <w:rFonts w:ascii=".VnTime" w:hAnsi=".VnTime" w:cs=".VnTime"/>
      <w:i/>
      <w:iCs/>
    </w:rPr>
  </w:style>
  <w:style w:type="table" w:styleId="TableGrid">
    <w:name w:val="Table Grid"/>
    <w:basedOn w:val="TableNormal"/>
    <w:uiPriority w:val="59"/>
    <w:rsid w:val="00452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C0318"/>
    <w:pPr>
      <w:spacing w:before="120" w:after="120" w:line="320" w:lineRule="exact"/>
      <w:ind w:left="90" w:firstLine="720"/>
      <w:jc w:val="both"/>
    </w:pPr>
    <w:rPr>
      <w:rFonts w:ascii=".VnTime" w:eastAsia="Batang" w:hAnsi=".VnTime" w:cs="Times New Roman"/>
      <w:sz w:val="28"/>
      <w:szCs w:val="28"/>
      <w:lang w:val="es-ES_tradnl" w:eastAsia="ko-KR"/>
    </w:rPr>
  </w:style>
  <w:style w:type="character" w:customStyle="1" w:styleId="BodyTextIndent2Char">
    <w:name w:val="Body Text Indent 2 Char"/>
    <w:basedOn w:val="DefaultParagraphFont"/>
    <w:link w:val="BodyTextIndent2"/>
    <w:rsid w:val="004C0318"/>
    <w:rPr>
      <w:rFonts w:ascii=".VnTime" w:eastAsia="Batang" w:hAnsi=".VnTime" w:cs="Times New Roman"/>
      <w:sz w:val="28"/>
      <w:szCs w:val="28"/>
      <w:lang w:val="es-ES_tradnl" w:eastAsia="ko-KR"/>
    </w:rPr>
  </w:style>
  <w:style w:type="paragraph" w:styleId="Header">
    <w:name w:val="header"/>
    <w:basedOn w:val="Normal"/>
    <w:link w:val="HeaderChar"/>
    <w:uiPriority w:val="99"/>
    <w:rsid w:val="004C0318"/>
    <w:pPr>
      <w:tabs>
        <w:tab w:val="center" w:pos="4320"/>
        <w:tab w:val="right" w:pos="8640"/>
      </w:tabs>
      <w:spacing w:after="0" w:line="240" w:lineRule="auto"/>
    </w:pPr>
    <w:rPr>
      <w:rFonts w:ascii=".VnTime" w:eastAsia="Batang" w:hAnsi=".VnTime" w:cs="Times New Roman"/>
      <w:sz w:val="28"/>
      <w:szCs w:val="28"/>
      <w:lang w:val="en-US" w:eastAsia="ko-KR"/>
    </w:rPr>
  </w:style>
  <w:style w:type="character" w:customStyle="1" w:styleId="HeaderChar">
    <w:name w:val="Header Char"/>
    <w:basedOn w:val="DefaultParagraphFont"/>
    <w:link w:val="Header"/>
    <w:uiPriority w:val="99"/>
    <w:rsid w:val="004C0318"/>
    <w:rPr>
      <w:rFonts w:ascii=".VnTime" w:eastAsia="Batang" w:hAnsi=".VnTime" w:cs="Times New Roman"/>
      <w:sz w:val="28"/>
      <w:szCs w:val="28"/>
      <w:lang w:val="en-US" w:eastAsia="ko-KR"/>
    </w:rPr>
  </w:style>
  <w:style w:type="paragraph" w:styleId="Footer">
    <w:name w:val="footer"/>
    <w:basedOn w:val="Normal"/>
    <w:link w:val="FooterChar"/>
    <w:uiPriority w:val="99"/>
    <w:unhideWhenUsed/>
    <w:rsid w:val="00D16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27D"/>
  </w:style>
  <w:style w:type="paragraph" w:styleId="BodyTextIndent">
    <w:name w:val="Body Text Indent"/>
    <w:basedOn w:val="Normal"/>
    <w:link w:val="BodyTextIndentChar"/>
    <w:unhideWhenUsed/>
    <w:rsid w:val="00785CA4"/>
    <w:pPr>
      <w:spacing w:after="120"/>
      <w:ind w:left="360"/>
    </w:pPr>
  </w:style>
  <w:style w:type="character" w:customStyle="1" w:styleId="BodyTextIndentChar">
    <w:name w:val="Body Text Indent Char"/>
    <w:basedOn w:val="DefaultParagraphFont"/>
    <w:link w:val="BodyTextIndent"/>
    <w:rsid w:val="00785CA4"/>
  </w:style>
  <w:style w:type="character" w:styleId="CommentReference">
    <w:name w:val="annotation reference"/>
    <w:basedOn w:val="DefaultParagraphFont"/>
    <w:uiPriority w:val="99"/>
    <w:semiHidden/>
    <w:unhideWhenUsed/>
    <w:rsid w:val="00476CC1"/>
    <w:rPr>
      <w:sz w:val="16"/>
      <w:szCs w:val="16"/>
    </w:rPr>
  </w:style>
  <w:style w:type="paragraph" w:styleId="CommentText">
    <w:name w:val="annotation text"/>
    <w:basedOn w:val="Normal"/>
    <w:link w:val="CommentTextChar"/>
    <w:uiPriority w:val="99"/>
    <w:semiHidden/>
    <w:unhideWhenUsed/>
    <w:rsid w:val="00476CC1"/>
    <w:pPr>
      <w:spacing w:line="240" w:lineRule="auto"/>
    </w:pPr>
    <w:rPr>
      <w:sz w:val="20"/>
      <w:szCs w:val="20"/>
    </w:rPr>
  </w:style>
  <w:style w:type="character" w:customStyle="1" w:styleId="CommentTextChar">
    <w:name w:val="Comment Text Char"/>
    <w:basedOn w:val="DefaultParagraphFont"/>
    <w:link w:val="CommentText"/>
    <w:uiPriority w:val="99"/>
    <w:semiHidden/>
    <w:rsid w:val="00476CC1"/>
    <w:rPr>
      <w:sz w:val="20"/>
      <w:szCs w:val="20"/>
    </w:rPr>
  </w:style>
  <w:style w:type="paragraph" w:styleId="CommentSubject">
    <w:name w:val="annotation subject"/>
    <w:basedOn w:val="CommentText"/>
    <w:next w:val="CommentText"/>
    <w:link w:val="CommentSubjectChar"/>
    <w:uiPriority w:val="99"/>
    <w:semiHidden/>
    <w:unhideWhenUsed/>
    <w:rsid w:val="00476CC1"/>
    <w:rPr>
      <w:b/>
      <w:bCs/>
    </w:rPr>
  </w:style>
  <w:style w:type="character" w:customStyle="1" w:styleId="CommentSubjectChar">
    <w:name w:val="Comment Subject Char"/>
    <w:basedOn w:val="CommentTextChar"/>
    <w:link w:val="CommentSubject"/>
    <w:uiPriority w:val="99"/>
    <w:semiHidden/>
    <w:rsid w:val="00476CC1"/>
    <w:rPr>
      <w:b/>
      <w:bCs/>
      <w:sz w:val="20"/>
      <w:szCs w:val="20"/>
    </w:rPr>
  </w:style>
  <w:style w:type="paragraph" w:styleId="Revision">
    <w:name w:val="Revision"/>
    <w:hidden/>
    <w:uiPriority w:val="99"/>
    <w:semiHidden/>
    <w:rsid w:val="001A47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028233">
      <w:bodyDiv w:val="1"/>
      <w:marLeft w:val="0"/>
      <w:marRight w:val="0"/>
      <w:marTop w:val="0"/>
      <w:marBottom w:val="0"/>
      <w:divBdr>
        <w:top w:val="none" w:sz="0" w:space="0" w:color="auto"/>
        <w:left w:val="none" w:sz="0" w:space="0" w:color="auto"/>
        <w:bottom w:val="none" w:sz="0" w:space="0" w:color="auto"/>
        <w:right w:val="none" w:sz="0" w:space="0" w:color="auto"/>
      </w:divBdr>
    </w:div>
    <w:div w:id="1594389551">
      <w:bodyDiv w:val="1"/>
      <w:marLeft w:val="0"/>
      <w:marRight w:val="0"/>
      <w:marTop w:val="0"/>
      <w:marBottom w:val="0"/>
      <w:divBdr>
        <w:top w:val="none" w:sz="0" w:space="0" w:color="auto"/>
        <w:left w:val="none" w:sz="0" w:space="0" w:color="auto"/>
        <w:bottom w:val="none" w:sz="0" w:space="0" w:color="auto"/>
        <w:right w:val="none" w:sz="0" w:space="0" w:color="auto"/>
      </w:divBdr>
      <w:divsChild>
        <w:div w:id="103774935">
          <w:marLeft w:val="0"/>
          <w:marRight w:val="0"/>
          <w:marTop w:val="0"/>
          <w:marBottom w:val="0"/>
          <w:divBdr>
            <w:top w:val="none" w:sz="0" w:space="0" w:color="auto"/>
            <w:left w:val="none" w:sz="0" w:space="0" w:color="auto"/>
            <w:bottom w:val="none" w:sz="0" w:space="0" w:color="auto"/>
            <w:right w:val="none" w:sz="0" w:space="0" w:color="auto"/>
          </w:divBdr>
        </w:div>
        <w:div w:id="790586514">
          <w:marLeft w:val="0"/>
          <w:marRight w:val="0"/>
          <w:marTop w:val="0"/>
          <w:marBottom w:val="0"/>
          <w:divBdr>
            <w:top w:val="none" w:sz="0" w:space="0" w:color="auto"/>
            <w:left w:val="none" w:sz="0" w:space="0" w:color="auto"/>
            <w:bottom w:val="none" w:sz="0" w:space="0" w:color="auto"/>
            <w:right w:val="none" w:sz="0" w:space="0" w:color="auto"/>
          </w:divBdr>
        </w:div>
        <w:div w:id="1066536421">
          <w:marLeft w:val="0"/>
          <w:marRight w:val="0"/>
          <w:marTop w:val="0"/>
          <w:marBottom w:val="0"/>
          <w:divBdr>
            <w:top w:val="none" w:sz="0" w:space="0" w:color="auto"/>
            <w:left w:val="none" w:sz="0" w:space="0" w:color="auto"/>
            <w:bottom w:val="none" w:sz="0" w:space="0" w:color="auto"/>
            <w:right w:val="none" w:sz="0" w:space="0" w:color="auto"/>
          </w:divBdr>
        </w:div>
        <w:div w:id="1712149127">
          <w:marLeft w:val="0"/>
          <w:marRight w:val="0"/>
          <w:marTop w:val="0"/>
          <w:marBottom w:val="0"/>
          <w:divBdr>
            <w:top w:val="none" w:sz="0" w:space="0" w:color="auto"/>
            <w:left w:val="none" w:sz="0" w:space="0" w:color="auto"/>
            <w:bottom w:val="none" w:sz="0" w:space="0" w:color="auto"/>
            <w:right w:val="none" w:sz="0" w:space="0" w:color="auto"/>
          </w:divBdr>
        </w:div>
      </w:divsChild>
    </w:div>
    <w:div w:id="180357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09E06-8F76-4960-A691-0A31E030E61B}">
  <ds:schemaRefs>
    <ds:schemaRef ds:uri="http://schemas.openxmlformats.org/officeDocument/2006/bibliography"/>
  </ds:schemaRefs>
</ds:datastoreItem>
</file>

<file path=customXml/itemProps2.xml><?xml version="1.0" encoding="utf-8"?>
<ds:datastoreItem xmlns:ds="http://schemas.openxmlformats.org/officeDocument/2006/customXml" ds:itemID="{36166065-4C1F-48C4-9BA8-41C21C08C61C}"/>
</file>

<file path=customXml/itemProps3.xml><?xml version="1.0" encoding="utf-8"?>
<ds:datastoreItem xmlns:ds="http://schemas.openxmlformats.org/officeDocument/2006/customXml" ds:itemID="{DA173FE9-F4F1-44E3-ACE9-40681772358A}"/>
</file>

<file path=customXml/itemProps4.xml><?xml version="1.0" encoding="utf-8"?>
<ds:datastoreItem xmlns:ds="http://schemas.openxmlformats.org/officeDocument/2006/customXml" ds:itemID="{62466A95-CBBF-486F-9040-7E9DF0494866}"/>
</file>

<file path=docProps/app.xml><?xml version="1.0" encoding="utf-8"?>
<Properties xmlns="http://schemas.openxmlformats.org/officeDocument/2006/extended-properties" xmlns:vt="http://schemas.openxmlformats.org/officeDocument/2006/docPropsVTypes">
  <Template>Normal.dotm</Template>
  <TotalTime>404</TotalTime>
  <Pages>6</Pages>
  <Words>2239</Words>
  <Characters>12763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MyLinh</dc:creator>
  <cp:lastModifiedBy>Nguyen Minh Hoang </cp:lastModifiedBy>
  <cp:revision>35</cp:revision>
  <cp:lastPrinted>2021-12-08T03:59:00Z</cp:lastPrinted>
  <dcterms:created xsi:type="dcterms:W3CDTF">2021-10-22T04:15:00Z</dcterms:created>
  <dcterms:modified xsi:type="dcterms:W3CDTF">2022-07-05T09:14:00Z</dcterms:modified>
</cp:coreProperties>
</file>