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48/2024/TT-BTC bãi bỏ một phần Thông tư liên tịch 46/2016/TTLT-BTC-BVHTTDL hướng dẫn chế độ quản lý đặc thù đối với Đội Tuyên truyền lưu động cấp tỉnh và cấp huyện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48/2024/TT-BTC</w:t>
      </w:r>
    </w:p>
    <w:p>
      <w:r>
        <w:t>Hà Nội, ngày 16 tháng 7 năm 2024</w:t>
      </w:r>
    </w:p>
    <w:p>
      <w:r>
        <w:t>THÔNG TƯ</w:t>
      </w:r>
    </w:p>
    <w:p>
      <w:r>
        <w:t>BÃI BỎ MỘT PHẦN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một phần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p>
      <w:r>
        <w:t>Điều 1. Bãi bỏ một phần Thông tư liên tịch</w:t>
      </w:r>
    </w:p>
    <w:p>
      <w:r>
        <w:t>Bãi bỏ Điều 3, Điều 4 và khoản 2 Điều 5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p>
      <w:r>
        <w:t>Điều 2. Điều khoản thi hành</w:t>
      </w:r>
    </w:p>
    <w:p>
      <w:r>
        <w:t>1. Thông tư này có hiệu lực thi hành kể từ ngày 05 tháng 9 năm 2024.</w:t>
      </w:r>
    </w:p>
    <w:p>
      <w:r>
        <w:t>2. Đối với các nhiệm vụ đã được cơ quan có thẩm quyền phê duyệt, phân bổ dự toán kinh phí thực hiện trước thời điểm Thông tư này có hiệu lực thi hành thì tiếp tục thực hiện theo quy định tại Thông tư liên tịch số 46/2016/TTLT-BTC-BVHTTDL đến hết niên độ ngân sách năm 2024.</w:t>
      </w:r>
    </w:p>
    <w:p>
      <w:r>
        <w:t>3. Trong quá trình thực hiện, nếu có khó khăn, vướng mắc, đề nghị các cơ quan, tổ chức, cá nhân phản ánh về Bộ Tài chính để kịp thời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 Văn phòng Chủ tịch nước;</w:t>
      </w:r>
    </w:p>
    <w:p>
      <w:r>
        <w:t>- Viện KSND tối cao, TAND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VHTTDL,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