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TƯỚNG 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24/2026/Q</w:t>
            </w:r>
            <w:r>
              <w:rPr>
                <w:rtl w:val="0"/>
              </w:rPr>
              <w:t>Đ-TTg</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5 năm 2026</w:t>
            </w:r>
            <w:r>
              <w:rPr>
                <w:i/>
                <w:iCs/>
                <w:rtl w:val="0"/>
              </w:rPr>
              <w:t xml:space="preserve">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BÃI BỎ QUYẾT ĐỊNH SỐ 67/2013/QĐ-TTG NGÀY 12 THÁNG 11 NĂM 2013 CỦA THỦ TƯỚNG CHÍNH PHỦ VỀ VIỆC ÁP DỤNG CƠ CHẾ QUẢN LÝ TÀI CHÍNH ĐỐI VỚI CỤC ĐĂNG KIỂM VIỆT NAM</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vvgjhunbih"/>
      <w:r>
        <w:rPr>
          <w:i/>
          <w:iCs/>
          <w:rtl w:val="0"/>
        </w:rPr>
        <w:t>Luật Ngân sách nhà nước số 89/2025/QH15</w:t>
      </w:r>
      <w:bookmarkEnd w:id="3"/>
      <w:r>
        <w:rPr>
          <w:i/>
          <w:iCs/>
          <w:rtl w:val="0"/>
        </w:rPr>
        <w:t>;</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 xml:space="preserve">Thủ tướng chính phủ ban hành Quyết định bãi bỏ Quyết định số </w:t>
      </w:r>
      <w:bookmarkStart w:id="4" w:name="tvpllink_iffylifcrk"/>
      <w:r>
        <w:rPr>
          <w:i/>
          <w:iCs/>
          <w:rtl w:val="0"/>
        </w:rPr>
        <w:t>67/2013/QĐ-TTg</w:t>
      </w:r>
      <w:bookmarkEnd w:id="4"/>
      <w:r>
        <w:rPr>
          <w:i/>
          <w:iCs/>
          <w:rtl w:val="0"/>
        </w:rPr>
        <w:t xml:space="preserve"> ngày 12 tháng 11 năm 2013 của Thủ tướng Chính phủ về việc áp dụng cơ chế quản lý tài chính đối với Cục Đăng kiểm Việt Nam.</w:t>
      </w:r>
    </w:p>
    <w:p>
      <w:pPr>
        <w:bidi w:val="0"/>
        <w:spacing w:before="120" w:beforeAutospacing="0" w:after="280" w:afterAutospacing="1"/>
      </w:pPr>
      <w:bookmarkStart w:id="5" w:name="dieu_1"/>
      <w:r>
        <w:rPr>
          <w:b/>
          <w:bCs/>
          <w:rtl w:val="0"/>
        </w:rPr>
        <w:t>Điều 1.</w:t>
      </w:r>
      <w:r>
        <w:rPr>
          <w:rtl w:val="0"/>
        </w:rPr>
        <w:t xml:space="preserve"> Bãi bỏ Quyết định số</w:t>
      </w:r>
      <w:bookmarkEnd w:id="5"/>
      <w:r>
        <w:rPr>
          <w:rtl w:val="0"/>
        </w:rPr>
        <w:t xml:space="preserve"> </w:t>
      </w:r>
      <w:bookmarkStart w:id="6" w:name="tvpllink_iffylifcrk_1"/>
      <w:r>
        <w:rPr>
          <w:rtl w:val="0"/>
        </w:rPr>
        <w:t>67/2013/QĐ-TTg</w:t>
      </w:r>
      <w:bookmarkEnd w:id="6"/>
      <w:r>
        <w:rPr>
          <w:rtl w:val="0"/>
        </w:rPr>
        <w:t xml:space="preserve"> </w:t>
      </w:r>
      <w:bookmarkStart w:id="7" w:name="dieu_1_name"/>
      <w:r>
        <w:rPr>
          <w:rtl w:val="0"/>
        </w:rPr>
        <w:t>ngày 12 tháng 11 năm 2013 của Thủ tướng Chính phủ về việc áp dụng cơ chế quản lý tài chính đối với Cục Đăng kiểm Việt Nam.</w:t>
      </w:r>
      <w:bookmarkEnd w:id="7"/>
    </w:p>
    <w:p>
      <w:pPr>
        <w:bidi w:val="0"/>
        <w:spacing w:before="120" w:beforeAutospacing="0" w:after="280" w:afterAutospacing="1"/>
      </w:pPr>
      <w:bookmarkStart w:id="8" w:name="dieu_2"/>
      <w:r>
        <w:rPr>
          <w:b/>
          <w:bCs/>
          <w:rtl w:val="0"/>
        </w:rPr>
        <w:t>Điều 2. Điều khoản chuyển tiếp</w:t>
      </w:r>
      <w:bookmarkEnd w:id="8"/>
    </w:p>
    <w:p>
      <w:pPr>
        <w:bidi w:val="0"/>
        <w:spacing w:before="120" w:beforeAutospacing="0" w:after="280" w:afterAutospacing="1"/>
      </w:pPr>
      <w:r>
        <w:rPr>
          <w:rtl w:val="0"/>
        </w:rPr>
        <w:t>1. Cục Đăng kiểm Việt Nam và các đơn vị trực thuộc Cục tiếp tục quản lý, sử dụng toàn bộ tài sản hiện có theo quy định của pháp luật về quản lý, sử dụng tài sản công.</w:t>
      </w:r>
    </w:p>
    <w:p>
      <w:pPr>
        <w:bidi w:val="0"/>
        <w:spacing w:before="120" w:beforeAutospacing="0" w:after="280" w:afterAutospacing="1"/>
      </w:pPr>
      <w:r>
        <w:rPr>
          <w:rtl w:val="0"/>
        </w:rPr>
        <w:t>2. Về xử lý nguồn vốn, quỹ:</w:t>
      </w:r>
    </w:p>
    <w:p>
      <w:pPr>
        <w:bidi w:val="0"/>
        <w:spacing w:before="120" w:beforeAutospacing="0" w:after="280" w:afterAutospacing="1"/>
      </w:pPr>
      <w:r>
        <w:rPr>
          <w:rtl w:val="0"/>
        </w:rPr>
        <w:t xml:space="preserve">a) Cục Đăng kiểm Việt Nam nộp toàn bộ số dư Quỹ Đầu tư phát triển, Quỹ Phát triển khoa học và công nghệ vào ngân sách nhà nước sau khi </w:t>
      </w:r>
      <w:r>
        <w:rPr>
          <w:rtl w:val="0"/>
        </w:rPr>
        <w:t>đã</w:t>
      </w:r>
      <w:r>
        <w:rPr>
          <w:rtl w:val="0"/>
        </w:rPr>
        <w:t xml:space="preserve"> cân đối giữ lại phần kinh phí cần thiết để tiếp tục thực </w:t>
      </w:r>
      <w:r>
        <w:rPr>
          <w:rtl w:val="0"/>
        </w:rPr>
        <w:t>hiện</w:t>
      </w:r>
      <w:r>
        <w:rPr>
          <w:rtl w:val="0"/>
        </w:rPr>
        <w:t xml:space="preserve"> đến khi hoàn thành các dự án đầu tư, nhiệm vụ khoa học và công nghệ đã được cấp có thẩm quyền phê duyệt trước ngày 31 tháng 12 năm 2025 còn đang triển khai dở dang.</w:t>
      </w:r>
    </w:p>
    <w:p>
      <w:pPr>
        <w:bidi w:val="0"/>
        <w:spacing w:before="120" w:beforeAutospacing="0" w:after="280" w:afterAutospacing="1"/>
      </w:pPr>
      <w:r>
        <w:rPr>
          <w:rtl w:val="0"/>
        </w:rPr>
        <w:t>b) Cục Đăng kiểm Việt Nam nộp toàn bộ số dư Quỹ Khen thưởng, phúc lợi vào ngân sách nhà nước sau khi thực hiện chi trả chế độ theo quy định cho người lao động tính đến hết thời điểm ngày 31 tháng 12 năm 2025.</w:t>
      </w:r>
    </w:p>
    <w:p>
      <w:pPr>
        <w:bidi w:val="0"/>
        <w:spacing w:before="120" w:beforeAutospacing="0" w:after="280" w:afterAutospacing="1"/>
      </w:pPr>
      <w:r>
        <w:rPr>
          <w:rtl w:val="0"/>
        </w:rPr>
        <w:t xml:space="preserve">c) Việc xác định số kinh phí được giữ lại theo quy định tại điểm a khoản này căn cứ vào nội dung, tiến độ và dự toán đã được cấp có thẩm quyền phê duyệt, bảo đảm đúng mục đích, tiết kiệm, hiệu quả; việc quản lý, sử dụng, thanh toán, quyết toán số kinh phí </w:t>
      </w:r>
      <w:r>
        <w:rPr>
          <w:rtl w:val="0"/>
        </w:rPr>
        <w:t>được</w:t>
      </w:r>
      <w:r>
        <w:rPr>
          <w:rtl w:val="0"/>
        </w:rPr>
        <w:t xml:space="preserve"> giữ lại thực hiện theo quy định của pháp luật.</w:t>
      </w:r>
    </w:p>
    <w:p>
      <w:pPr>
        <w:bidi w:val="0"/>
        <w:spacing w:before="120" w:beforeAutospacing="0" w:after="280" w:afterAutospacing="1"/>
      </w:pPr>
      <w:r>
        <w:rPr>
          <w:rtl w:val="0"/>
        </w:rPr>
        <w:t xml:space="preserve">3. Tiền lương và thu nhập của cán bộ, công chức Cục Đăng kiểm Việt Nam thực hiện theo quy định tại Nghị định số </w:t>
      </w:r>
      <w:bookmarkStart w:id="9" w:name="tvpllink_yqjyfteyhg"/>
      <w:r>
        <w:rPr>
          <w:rtl w:val="0"/>
        </w:rPr>
        <w:t>73/2024/NĐ-CP</w:t>
      </w:r>
      <w:bookmarkEnd w:id="9"/>
      <w:r>
        <w:rPr>
          <w:rtl w:val="0"/>
        </w:rPr>
        <w:t xml:space="preserve"> ngày 30 tháng 6 năm 2024 của Chính phủ quy định mức lương cơ sở và chế độ tiền thưởng đối với cán bộ, công chức, viên chức và lực lượng vũ trang và các văn bản pháp luật có liên quan.</w:t>
      </w:r>
    </w:p>
    <w:p>
      <w:pPr>
        <w:bidi w:val="0"/>
        <w:spacing w:before="120" w:beforeAutospacing="0" w:after="280" w:afterAutospacing="1"/>
      </w:pPr>
      <w:bookmarkStart w:id="10" w:name="dieu_3"/>
      <w:r>
        <w:rPr>
          <w:b/>
          <w:bCs/>
          <w:rtl w:val="0"/>
        </w:rPr>
        <w:t xml:space="preserve">Điều 3. </w:t>
      </w:r>
      <w:r>
        <w:rPr>
          <w:b/>
          <w:bCs/>
          <w:rtl w:val="0"/>
        </w:rPr>
        <w:t>Điều</w:t>
      </w:r>
      <w:r>
        <w:rPr>
          <w:b/>
          <w:bCs/>
          <w:rtl w:val="0"/>
        </w:rPr>
        <w:t xml:space="preserve"> khoản thi hành</w:t>
      </w:r>
      <w:bookmarkEnd w:id="10"/>
    </w:p>
    <w:p>
      <w:pPr>
        <w:bidi w:val="0"/>
        <w:spacing w:before="120" w:beforeAutospacing="0" w:after="280" w:afterAutospacing="1"/>
      </w:pPr>
      <w:r>
        <w:rPr>
          <w:rtl w:val="0"/>
        </w:rPr>
        <w:t>1. Quyết định này có hiệu lực thi hành từ ngày 01 tháng 7 năm 2026 và áp dụng từ năm tài chính 2026.</w:t>
      </w:r>
    </w:p>
    <w:p>
      <w:pPr>
        <w:bidi w:val="0"/>
        <w:spacing w:before="120" w:beforeAutospacing="0" w:after="280" w:afterAutospacing="1"/>
      </w:pPr>
      <w:r>
        <w:rPr>
          <w:rtl w:val="0"/>
        </w:rPr>
        <w:t>2. Các Bộ trưởng, Thủ trưởng cơ quan ngang bộ, Thủ trưởng các cơ quan có liên quan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w:t>
            </w:r>
            <w:r>
              <w:rPr>
                <w:sz w:val="16"/>
                <w:rtl w:val="0"/>
              </w:rPr>
              <w:t>ng ương;</w:t>
            </w:r>
            <w:r>
              <w:rPr>
                <w:sz w:val="16"/>
                <w:rtl w:val="0"/>
              </w:rPr>
              <w:br/>
            </w:r>
            <w:r>
              <w:rPr>
                <w:sz w:val="16"/>
                <w:rtl w:val="0"/>
              </w:rPr>
              <w:t>- Văn phòng Trung ương và các Ban của Đảng;</w:t>
            </w:r>
            <w:r>
              <w:rPr>
                <w:sz w:val="16"/>
                <w:rtl w:val="0"/>
              </w:rPr>
              <w:br/>
            </w:r>
            <w:r>
              <w:rPr>
                <w:sz w:val="16"/>
                <w:rtl w:val="0"/>
              </w:rPr>
              <w:t>-</w:t>
            </w:r>
            <w:r>
              <w:rPr>
                <w:sz w:val="16"/>
                <w:rtl w:val="0"/>
              </w:rPr>
              <w:t xml:space="preserve"> </w:t>
            </w:r>
            <w:r>
              <w:rPr>
                <w:sz w:val="16"/>
                <w:rtl w:val="0"/>
              </w:rPr>
              <w:t>Văn phòng Tổng Bí thư;</w:t>
            </w:r>
            <w:r>
              <w:rPr>
                <w:sz w:val="16"/>
                <w:rtl w:val="0"/>
              </w:rPr>
              <w:br/>
            </w:r>
            <w:r>
              <w:rPr>
                <w:sz w:val="16"/>
                <w:rtl w:val="0"/>
              </w:rPr>
              <w:t xml:space="preserve">- </w:t>
            </w:r>
            <w:r>
              <w:rPr>
                <w:sz w:val="16"/>
                <w:rtl w:val="0"/>
              </w:rPr>
              <w:t>Văn phòng Chủ tịch nước;</w:t>
            </w:r>
            <w:r>
              <w:rPr>
                <w:sz w:val="16"/>
                <w:rtl w:val="0"/>
              </w:rPr>
              <w:br/>
            </w:r>
            <w:r>
              <w:rPr>
                <w:sz w:val="16"/>
                <w:rtl w:val="0"/>
              </w:rPr>
              <w:t>- Hội đồng Dân tộc và các Ủy ban của Quốc hội;</w:t>
            </w:r>
            <w:r>
              <w:rPr>
                <w:sz w:val="16"/>
                <w:rtl w:val="0"/>
              </w:rPr>
              <w:br/>
            </w:r>
            <w:r>
              <w:rPr>
                <w:sz w:val="16"/>
                <w:rtl w:val="0"/>
              </w:rPr>
              <w:t xml:space="preserve">- </w:t>
            </w:r>
            <w:r>
              <w:rPr>
                <w:sz w:val="16"/>
                <w:rtl w:val="0"/>
              </w:rPr>
              <w:t>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w:t>
            </w:r>
            <w:r>
              <w:rPr>
                <w:sz w:val="16"/>
                <w:rtl w:val="0"/>
              </w:rPr>
              <w:t xml:space="preserve">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w:t>
            </w:r>
            <w:r>
              <w:rPr>
                <w:sz w:val="16"/>
                <w:rtl w:val="0"/>
              </w:rPr>
              <w:t xml:space="preserve">ã </w:t>
            </w:r>
            <w:r>
              <w:rPr>
                <w:sz w:val="16"/>
                <w:rtl w:val="0"/>
              </w:rPr>
              <w:t xml:space="preserve">- hội; </w:t>
            </w:r>
            <w:r>
              <w:rPr>
                <w:sz w:val="16"/>
                <w:rtl w:val="0"/>
              </w:rPr>
              <w:br/>
            </w:r>
            <w:r>
              <w:rPr>
                <w:sz w:val="16"/>
                <w:rtl w:val="0"/>
              </w:rPr>
              <w:t xml:space="preserve">- VPCP: BTCN, các PCN, Trợ </w:t>
            </w:r>
            <w:r>
              <w:rPr>
                <w:sz w:val="16"/>
                <w:rtl w:val="0"/>
              </w:rPr>
              <w:t>l</w:t>
            </w:r>
            <w:r>
              <w:rPr>
                <w:sz w:val="16"/>
                <w:rtl w:val="0"/>
              </w:rPr>
              <w:t>ý TTg, TGĐ Cổng</w:t>
            </w:r>
            <w:r>
              <w:rPr>
                <w:sz w:val="16"/>
                <w:rtl w:val="0"/>
              </w:rPr>
              <w:t xml:space="preserve"> </w:t>
            </w:r>
            <w:r>
              <w:rPr>
                <w:sz w:val="16"/>
                <w:rtl w:val="0"/>
              </w:rPr>
              <w:t>TTĐT, các Vụ, Cục, đơn vị trực thuộc, Công báo;</w:t>
            </w:r>
            <w:r>
              <w:rPr>
                <w:sz w:val="16"/>
                <w:rtl w:val="0"/>
              </w:rPr>
              <w:br/>
            </w:r>
            <w:r>
              <w:rPr>
                <w:sz w:val="16"/>
                <w:rtl w:val="0"/>
              </w:rPr>
              <w:t xml:space="preserve">- Lưu: VT, KTTH (2). </w:t>
            </w:r>
            <w:r>
              <w:rPr>
                <w:sz w:val="16"/>
                <w:vertAlign w:val="subscript"/>
                <w:rtl w:val="0"/>
              </w:rPr>
              <w:t>NG</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Nguyễn Văn Thắng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