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bãi bỏ Quyết định 24/2020/QĐ-UBND về Quy chế sử dụng tài sản công vào mục đích kinh doanh, cho thuê, liên doanh liên kết tại các đơn vị sự nghiệp công lập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82/2024/QĐ-UBND</w:t>
      </w:r>
    </w:p>
    <w:p>
      <w:r>
        <w:t>Thừa Thiên Huế, ngày 25 tháng 10 năm 2024</w:t>
      </w:r>
    </w:p>
    <w:p>
      <w:r>
        <w:t>QUYẾT ĐỊNH</w:t>
      </w:r>
    </w:p>
    <w:p>
      <w:r>
        <w:t>BÃI BỎ QUYẾT ĐỊNH SỐ 24/2020/QĐ-UBND NGÀY 24 THÁNG 4 NĂM 2020 CỦA ỦY BAN NHÂN DÂN TỈNH VỀ VIỆC BAN HÀNH QUY CHẾ SỬ DỤNG TÀI SẢN CÔNG VÀO MỤC ĐÍCH KINH DOANH, CHO THUÊ, LIÊN DOANH LIÊN KẾT TẠI CÁC ĐƠN VỊ SỰ NGHIỆP CÔNG LẬP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Tài chính hướng dẫn một số nội dung của Nghị định số 151/2017/NĐ-CP ngày 26 tháng 12 năm 2017 của Chính phủ quy định chi tiết một số điều của Luật Quản lý, sử dụng tài sản công;</w:t>
      </w:r>
    </w:p>
    <w:p>
      <w:r>
        <w:t>Theo đề nghị của Giám đốc Sở Tài chính tại Tờ trình số 3612/TTr-STC ngày 10 tháng 10 năm 2024 và Công văn số 3833/STC-CSDN ngày 24/10/2024.</w:t>
      </w:r>
    </w:p>
    <w:p>
      <w:r>
        <w:t>QUYẾT ĐỊNH:</w:t>
      </w:r>
    </w:p>
    <w:p>
      <w:r>
        <w:t>Điều 1.  Bãi bỏ toàn bộ Quyết định số 24/2020/QĐ-UBND ngày 24 tháng 4 năm 2020 của Uỷ ban nhân dân tỉnh Thừa Thiên Huế về việc ban hành Quy chế sử dụng tài sản công vào mục đích kinh doanh, cho thuê, liên doanh liên kết tại các đơn vị sự nghiệp công lập trên địa bàn tỉnh Thừa Thiên Huế.</w:t>
      </w:r>
    </w:p>
    <w:p>
      <w:r>
        <w:t>Điều 2. Điều khoản thi hành</w:t>
      </w:r>
    </w:p>
    <w:p>
      <w:r>
        <w:t>1. Quyết định này có hiệu lực từ ngày 04 tháng 11 năm 2024.</w:t>
      </w:r>
    </w:p>
    <w:p>
      <w:r>
        <w:t>2. Chánh Văn phòng Ủy ban nhân dân tỉnh, Giám đốc các Sở; Thủ trưởng các ban, ngành cấp tỉnh; Chủ tịch Ủy ban nhân dân các huyện, thị xã và thành phố Huế; Thủ trưởng các cơ quan, đơn vị có liên quan chịu trách nhiệm thi hành quyết định này./.</w:t>
      </w:r>
    </w:p>
    <w:p>
      <w:r>
        <w:t>Nơi nhận:</w:t>
      </w:r>
    </w:p>
    <w:p>
      <w:r>
        <w:t>- Như Điều 2;</w:t>
      </w:r>
    </w:p>
    <w:p>
      <w:r>
        <w:t>- Bộ Tài chính;</w:t>
      </w:r>
    </w:p>
    <w:p>
      <w:r>
        <w:t>- Cục KT VBQPPL-Bộ Tư pháp;</w:t>
      </w:r>
    </w:p>
    <w:p>
      <w:r>
        <w:t>- TT. TU, TT. HĐND tỉnh, UB MTTQ VN tỉnh;</w:t>
      </w:r>
    </w:p>
    <w:p>
      <w:r>
        <w:t>- Đoàn ĐB Quốc hội tỉnh;</w:t>
      </w:r>
    </w:p>
    <w:p>
      <w:r>
        <w:t>- CT và các PCT UBND tỉnh;</w:t>
      </w:r>
    </w:p>
    <w:p>
      <w:r>
        <w:t>- Sở, ban, ngành cấp tỉnh;</w:t>
      </w:r>
    </w:p>
    <w:p>
      <w:r>
        <w:t>- TT. HĐND, UBND các huyện, TX, TP Huế;</w:t>
      </w:r>
    </w:p>
    <w:p>
      <w:r>
        <w:t>- VP: CVP và các PCVP UBND tỉnh;</w:t>
      </w:r>
    </w:p>
    <w:p>
      <w:r>
        <w:t>- Cổng TTĐT, Công báo tỉnh;</w:t>
      </w:r>
    </w:p>
    <w:p>
      <w:r>
        <w:t>- Lưu: VT, NN,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