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áp dụng hệ số K thành phần trong chi trả tiền dịch vụ môi trường rừng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60/2024/QĐ-UBND</w:t>
      </w:r>
    </w:p>
    <w:p>
      <w:r>
        <w:t>Ninh Bình, ngày 05 tháng 9 năm 2024</w:t>
      </w:r>
    </w:p>
    <w:p>
      <w:r>
        <w:t>QUYẾT ĐỊNH</w:t>
      </w:r>
    </w:p>
    <w:p>
      <w:r>
        <w:t>VỀ VIỆC ÁP DỤNG HỆ SỐ K THÀNH PHẦN TRONG CHI TRẢ TIỀN DỊCH VỤ MÔI TRƯỜNG RỪNG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Theo đề nghị của Giám đốc Sở Nông nghiệp và Phát triển nông thôn tại Tờ trình số 168/TTr-SNN ngày 21 tháng 8 năm 2024.</w:t>
      </w:r>
    </w:p>
    <w:p>
      <w:r>
        <w:t>QUYẾT ĐỊNH:</w:t>
      </w:r>
    </w:p>
    <w:p>
      <w:r>
        <w:t>Điều 1. Quy định về việc áp dụng hệ số K thành phần trong chi trả tiền dịch vụ môi trường rừng trên địa bàn tỉnh Ninh Bình</w:t>
      </w:r>
    </w:p>
    <w:p>
      <w:r>
        <w:t>Hệ số K được xác định cho từng lô rừng, làm cơ sở để tính toán mức chi trả dịch vụ môi trường rừng cho bên cung ứng dịch vụ môi trường rừng trên địa bàn tỉnh Ninh Bình. Hệ số K bằng tích số của các hệ số K thành phần.</w:t>
      </w:r>
    </w:p>
    <w:p>
      <w:r>
        <w:t>Các hệ số K thành phần gồm:</w:t>
      </w:r>
    </w:p>
    <w:p>
      <w:r>
        <w:t>1. Hệ số K 1  điều chỉnh mức chi trả dịch vụ môi trường rừng theo trữ lượng rừng. Hệ số K 1  có giá trị bằng: 1,00 đối với rừng giàu; 0,95 đối với rừng trung bình; 0,90 đối với rừng nghèo, rừng nghèo kiệt, rừng chưa có trữ lượng, rừng tre nứa, rừng không phân chia trữ lượng và rừng trồng. Tiêu chí trữ lượng rừng theo quy định của Bộ Nông nghiệp và Phát triển nông thôn.</w:t>
      </w:r>
    </w:p>
    <w:p>
      <w:r>
        <w:t>2. Hệ số K 2  điều chỉnh mức chi trả dịch vụ môi trường rừng theo mục đích sử dụng rừng được Ủy ban nhân dân cấp tỉnh phê duyệt, gồm rừng đặc dụng, rừng phòng hộ và rừng sản xuất. Hệ số K2 có giá trị bằng: 1,00 đối với rừng đặc dụng; 0,95 đối với rừng phòng hộ; 0,90 đối với rừng sản xuất.</w:t>
      </w:r>
    </w:p>
    <w:p>
      <w:r>
        <w:t>3. Hệ số K 3  điều chỉnh mức chi trả dịch vụ môi trường rừng theo nguồn gốc hình thành rừng, gồm rừng tự nhiên và rừng trồng. Hệ số K 3  có giá trị bằng: 1,00 đối với rừng tự nhiên; 0,90 đối với rừng trồng.</w:t>
      </w:r>
    </w:p>
    <w:p>
      <w:r>
        <w:t>4. Hệ số K 4  điều chỉnh mức chi trả dịch vụ môi trường rừng theo mức độ khó khăn được quy định đối với diện tích cung ứng dịch vụ môi trường rừng nằm trên địa bàn các xã khu vực I theo quy định của Thủ tướng Chính phủ và các xã chưa được Thủ tướng Chính phủ quy định có giá trị bằng 0,90.</w:t>
      </w:r>
    </w:p>
    <w:p>
      <w:r>
        <w:t>Điều 2. Hiệu lực thi hành</w:t>
      </w:r>
    </w:p>
    <w:p>
      <w:r>
        <w:t>Quyết định này có hiệu lực kể từ ngày 16 tháng 9 năm 2024.</w:t>
      </w:r>
    </w:p>
    <w:p>
      <w:r>
        <w:t>Điều 3. Tổ chức thực hiện</w:t>
      </w:r>
    </w:p>
    <w:p>
      <w:r>
        <w:t>1. Sở Nông nghiệp và Phát triển nông thôn chỉ đạo các cơ quan, tổ chức liên quan phối hợp với Quỹ Bảo vệ và Phát triển rừng tỉnh xác định hệ số K của các lô rừng khi có sự thay đổi về trữ lượng, mục đích sử dụng, nguồn gốc hình thành và mức độ khó khăn.</w:t>
      </w:r>
    </w:p>
    <w:p>
      <w:r>
        <w:t>2. Giám đốc Quỹ Bảo vệ và Phát triển rừng tỉnh xác định số tiền chi trả cho bên cung ứng dịch vụ môi trường rừng theo quy định tại khoản 1 Mục III Phụ lục VII ban hành kèm theo Nghị định số 91/2024/NĐ-CP ngày 18 tháng 7 năm 2024 của Chính phủ sửa đổi, bổ sung một số điều của Nghị định số 156 / 2018/NĐ-CP ngày 16 tháng 11 năm 2018 của Chính phủ quy định chi tiết thi hành một số điều của Luật Lâm nghiệp.</w:t>
      </w:r>
    </w:p>
    <w:p>
      <w:r>
        <w:t>3. Chánh Văn phòng UBND tỉnh; Giám đốc các Sở: Nông nghiệp và Phát triển nông thôn, Tài chính; Chi cục trưởng Chi cục Kiểm lâm; các thành viên Hội đồng quản lý Quỹ Bảo vệ và Phát triển rừng tỉnh; Giám đốc Quỹ Bảo vệ và Phát triển rừng tỉnh; Chủ tịch Uỷ ban nhân dân các huyện, thành phố trong lưu vực được chi trả dịch vụ môi trường rừng và các cơ quan, tổ chức, hộ gia đình, cá nhân, cộng đồng dân cư có liên quan chịu trách nhiệm thi hành Quyết định này./.</w:t>
      </w:r>
    </w:p>
    <w:p>
      <w:r>
        <w:t>Nơi nhận:</w:t>
      </w:r>
    </w:p>
    <w:p>
      <w:r>
        <w:t>- Như Điều 3;</w:t>
      </w:r>
    </w:p>
    <w:p>
      <w:r>
        <w:t>- Vụ Pháp chế - Bộ Nông nghiệp và Phát triển nông thôn;</w:t>
      </w:r>
    </w:p>
    <w:p>
      <w:r>
        <w:t>- Quỹ Bảo vệ và Phát triển rừng Việt Nam;</w:t>
      </w:r>
    </w:p>
    <w:p>
      <w:r>
        <w:t>- Cục Kiểm tra VBQPPL - Bộ Tư pháp;</w:t>
      </w:r>
    </w:p>
    <w:p>
      <w:r>
        <w:t>- Thường trực Tỉnh ủy;</w:t>
      </w:r>
    </w:p>
    <w:p>
      <w:r>
        <w:t>- Thường trực HĐND tỉnh;</w:t>
      </w:r>
    </w:p>
    <w:p>
      <w:r>
        <w:t>- Đoàn Đại biểu Quốc Hội tỉnh;</w:t>
      </w:r>
    </w:p>
    <w:p>
      <w:r>
        <w:t>- Ủy ban MTTQ Việt Nam tỉnh;</w:t>
      </w:r>
    </w:p>
    <w:p>
      <w:r>
        <w:t>- Website Chính phủ;</w:t>
      </w:r>
    </w:p>
    <w:p>
      <w:r>
        <w:t>- Lãnh đạo UBND tỉnh;</w:t>
      </w:r>
    </w:p>
    <w:p>
      <w:r>
        <w:t>- Công báo tỉnh; Cổng thông tin điện tử tỉnh;</w:t>
      </w:r>
    </w:p>
    <w:p>
      <w:r>
        <w:t>- Lưu: VT, VP3.</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