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Khung giá dịch vụ quản lý vận hành nhà chung cư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56/2024/QĐ-UBND</w:t>
      </w:r>
    </w:p>
    <w:p>
      <w:r>
        <w:t>Vĩnh Long, ngày 30 tháng 12 năm 2024</w:t>
      </w:r>
    </w:p>
    <w:p>
      <w:r>
        <w:t>QUYẾT ĐỊNH</w:t>
      </w:r>
    </w:p>
    <w:p>
      <w:r>
        <w:t>QUY ĐỊNH KHUNG GIÁ DỊCH VỤ QUẢN LÝ VẬN HÀNH NHÀ CHUNG CƯ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7 Điều 151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w:t>
      </w:r>
    </w:p>
    <w:p>
      <w:r>
        <w:t>QUYẾT ĐỊNH:</w:t>
      </w:r>
    </w:p>
    <w:p>
      <w:r>
        <w:t>Điều 1. Phạm vi điều chỉnh</w:t>
      </w:r>
    </w:p>
    <w:p>
      <w:r>
        <w:t>Quyết định này quy định khung giá dịch vụ quản lý vận hành nhà chung cư trên địa bàn tỉnh Vĩnh Long.</w:t>
      </w:r>
    </w:p>
    <w:p>
      <w:r>
        <w:t>Điều 2. Đối tượng áp dụng</w:t>
      </w:r>
    </w:p>
    <w:p>
      <w:r>
        <w:t>1. Chủ đầu tư dự án xây dựng nhà chung cư; chủ sở hữu, người sử dụng nhà chung cư; Ban quản trị nhà chung cư; đơn vị quản lý vận hành nhà chung cư trên địa bàn tỉnh Vĩnh Long.</w:t>
      </w:r>
    </w:p>
    <w:p>
      <w:r>
        <w:t>2. Cơ quan, tổ chức và cá nhân khác có liên quan đến việc quản lý vận hành, sử dụng nhà chung cư.</w:t>
      </w:r>
    </w:p>
    <w:p>
      <w:r>
        <w:t>Điều 3. Khung giá dịch vụ quản lý vận hành nhà chung cư</w:t>
      </w:r>
    </w:p>
    <w:p>
      <w:r>
        <w:t>Đơn vị tính: đồng/m 2  sàn sử dụng/tháng</w:t>
      </w:r>
    </w:p>
    <w:p>
      <w:r>
        <w:t>TT</w:t>
      </w:r>
    </w:p>
    <w:p>
      <w:r>
        <w:t>Giá dịch vụ</w:t>
      </w:r>
    </w:p>
    <w:p>
      <w:r>
        <w:t>Giá tối thiểu</w:t>
      </w:r>
    </w:p>
    <w:p>
      <w:r>
        <w:t>Giá tối đa</w:t>
      </w:r>
    </w:p>
    <w:p>
      <w:r>
        <w:t>1</w:t>
      </w:r>
    </w:p>
    <w:p>
      <w:r>
        <w:t>Dịch vụ quản lý vận hành nhà chung cư</w:t>
      </w:r>
    </w:p>
    <w:p>
      <w:r>
        <w:t>950</w:t>
      </w:r>
    </w:p>
    <w:p>
      <w:r>
        <w:t>10.500</w:t>
      </w:r>
    </w:p>
    <w:p>
      <w:r>
        <w:t>Giá này đã bao gồm thuế giá trị gia tăng 10%.</w:t>
      </w:r>
    </w:p>
    <w:p>
      <w:r>
        <w:t>Điều 4 .  Tổ chức thi hành</w:t>
      </w:r>
    </w:p>
    <w:p>
      <w:r>
        <w:t>1. Quyết định này có hiệu lực kể từ ngày 10 tháng 01 năm 2025.</w:t>
      </w:r>
    </w:p>
    <w:p>
      <w:r>
        <w:t>2. Chánh Văn phòng Ủy ban nhân dân tỉnh, Giám đốc các Sở: Xây dựng, Tài chính, Tài nguyên và Môi trường, Kế hoạch và Đầu tư; Trưởng Ban Quản lý các Khu Công nghiệp tỉnh; Thủ trưởng các sở, ngành có liên quan; Chủ tịch Ủy ban nhân dân các huyện, thị xã, thành phố và các tổ chức, cá nhân, hộ gia đình có liên quan chịu trách nhiệm thi hành Quyết định này.</w:t>
      </w:r>
    </w:p>
    <w:p>
      <w:r>
        <w:t>Trường hợp các cơ quan, đơn vị quy định tại khoản 2 Điều 4 Quyết định này có sự thay đổi về tên gọi hoặc thay đổi về chức năng, nhiệm vụ thì trách nhiệm tổ chức triển khai, thực hiện Quyết định này được thực hiện theo quy định của văn bản pháp luật mới ban hành.</w:t>
      </w:r>
    </w:p>
    <w:p>
      <w:r>
        <w:t>Nơi nhận:</w:t>
      </w:r>
    </w:p>
    <w:p>
      <w:r>
        <w:t>- Như khoản 2 Điều 4;</w:t>
      </w:r>
    </w:p>
    <w:p>
      <w:r>
        <w:t>- Bộ Xây dựng;</w:t>
      </w:r>
    </w:p>
    <w:p>
      <w:r>
        <w:t>- Cục kiểm tra VBQPPL - Bộ Tư Pháp;</w:t>
      </w:r>
    </w:p>
    <w:p>
      <w:r>
        <w:t>- Thường trực Tỉnh ủy;</w:t>
      </w:r>
    </w:p>
    <w:p>
      <w:r>
        <w:t>- HĐND tỉnh;</w:t>
      </w:r>
    </w:p>
    <w:p>
      <w:r>
        <w:t>- Đoàn Đại biểu Quốc hội tỉnh;</w:t>
      </w:r>
    </w:p>
    <w:p>
      <w:r>
        <w:t>- CT, các PCT UBND tỉnh;</w:t>
      </w:r>
    </w:p>
    <w:p>
      <w:r>
        <w:t>- Sở Tư pháp;</w:t>
      </w:r>
    </w:p>
    <w:p>
      <w:r>
        <w:t>- Trung tâm Tin học - Công báo tỉnh;</w:t>
      </w:r>
    </w:p>
    <w:p>
      <w:r>
        <w:t>-  Lưu: VT.</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