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quy định giá tính thuế tài nguyên năm 2025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53/2024/QĐ-UBND</w:t>
      </w:r>
    </w:p>
    <w:p>
      <w:r>
        <w:t>Hậu Giang, ngày 20 tháng 12 năm 2024</w:t>
      </w:r>
    </w:p>
    <w:p>
      <w:r>
        <w:t>QUYẾT ĐỊNH</w:t>
      </w:r>
    </w:p>
    <w:p>
      <w:r>
        <w:t>QUY ĐỊNH GIÁ TÍNH THUẾ TÀI NGUYÊN NĂM 2025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của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QUYẾT ĐỊNH</w:t>
      </w:r>
    </w:p>
    <w:p>
      <w:r>
        <w:t>Điều 1. Phạm vi điều chỉnh</w:t>
      </w:r>
    </w:p>
    <w:p>
      <w:r>
        <w:t>Quyết định này quy định giá tính thuế tài nguyên năm 2025 trên địa bàn tỉnh Hậu Giang.</w:t>
      </w:r>
    </w:p>
    <w:p>
      <w:r>
        <w:t>Điều 2. Đối tượng áp dụng</w:t>
      </w:r>
    </w:p>
    <w:p>
      <w:r>
        <w:t>1. Sở Tài nguyên và Môi trường, Sở Tài chính và cơ quan thuế các cấp.</w:t>
      </w:r>
    </w:p>
    <w:p>
      <w:r>
        <w:t>2. Tổ chức, cá nhân khai thác tài nguyên là khoáng sản không kim loại và nước thiên nhiên trên địa bàn tỉnh Hậu Giang.</w:t>
      </w:r>
    </w:p>
    <w:p>
      <w:r>
        <w:t>3. Các tổ chức, cá nhân khác có liên quan.</w:t>
      </w:r>
    </w:p>
    <w:p>
      <w:r>
        <w:t>Điều 3. Bảng giá tính thuế tài nguyên năm 2025 và tỷ lệ quy đổi từ sản phẩm tài nguyên hoặc sản phẩm công nghiệp ra sản lượng tài nguyên khai thác có trong sản phẩm tài nguyên và sản phẩm công nghiệp</w:t>
      </w:r>
    </w:p>
    <w:p>
      <w:r>
        <w:t>1. Bảng giá tính thuế tài nguyên năm 2025 trên địa bàn tỉnh Hậu Giang</w:t>
      </w:r>
    </w:p>
    <w:p>
      <w:r>
        <w:t>Mã nhóm, loại tài nguyên</w:t>
      </w:r>
    </w:p>
    <w:p>
      <w:r>
        <w:t>Tên nhóm, loại tài nguyên</w:t>
      </w:r>
    </w:p>
    <w:p>
      <w:r>
        <w:t>Đơn vị   tính</w:t>
      </w:r>
    </w:p>
    <w:p>
      <w:r>
        <w:t>Giá tính thuế tài nguyên (ĐVT: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60.000</w:t>
      </w:r>
    </w:p>
    <w:p>
      <w:r>
        <w:t>II5</w:t>
      </w:r>
    </w:p>
    <w:p>
      <w:r>
        <w:t>Cát</w:t>
      </w:r>
    </w:p>
    <w:p>
      <w:r>
        <w:t>II501</w:t>
      </w:r>
    </w:p>
    <w:p>
      <w:r>
        <w:t>Cát san lấp (bao gồm cả cát nhiễm mặn)</w:t>
      </w:r>
    </w:p>
    <w:p>
      <w:r>
        <w:t>m 3</w:t>
      </w:r>
    </w:p>
    <w:p>
      <w:r>
        <w:t>68.000</w:t>
      </w:r>
    </w:p>
    <w:p>
      <w:r>
        <w:t>V</w:t>
      </w:r>
    </w:p>
    <w:p>
      <w:r>
        <w:t>Nước thiên   nhiên</w:t>
      </w:r>
    </w:p>
    <w:p>
      <w:r>
        <w:t>V102</w:t>
      </w:r>
    </w:p>
    <w:p>
      <w:r>
        <w:t>Nước thiên nhiên tinh lọc đóng chai, đóng hộp</w:t>
      </w:r>
    </w:p>
    <w:p>
      <w:r>
        <w:t>V102 01</w:t>
      </w:r>
    </w:p>
    <w:p>
      <w:r>
        <w:t>Nước thiên nhiên khai thác tinh lọc đóng chai, đóng hộp</w:t>
      </w:r>
    </w:p>
    <w:p>
      <w:r>
        <w:t>m 3</w:t>
      </w:r>
    </w:p>
    <w:p>
      <w:r>
        <w:t>100.000</w:t>
      </w:r>
    </w:p>
    <w:p>
      <w:r>
        <w:t>V102 02</w:t>
      </w:r>
    </w:p>
    <w:p>
      <w:r>
        <w:t>Nước thiên nhiên tinh lọc đóng chai, đóng hộp</w:t>
      </w:r>
    </w:p>
    <w:p>
      <w:r>
        <w:t>m 3</w:t>
      </w:r>
    </w:p>
    <w:p>
      <w:r>
        <w:t>500.000</w:t>
      </w:r>
    </w:p>
    <w:p>
      <w:r>
        <w:t>V2</w:t>
      </w:r>
    </w:p>
    <w:p>
      <w:r>
        <w:t>Nước thiên nhiên dùng cho kinh doanh sản xuất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50.000</w:t>
      </w:r>
    </w:p>
    <w:p>
      <w:r>
        <w:t>V303</w:t>
      </w:r>
    </w:p>
    <w:p>
      <w:r>
        <w:t>Nước thiên nhiên dùng mục đích khác (làm mát, vệ sinh công nghiệp, xây dựng, dùng cho sản xuất, chế biến thủy sản, hải sản, nông sản…)</w:t>
      </w:r>
    </w:p>
    <w:p>
      <w:r>
        <w:t>m 3</w:t>
      </w:r>
    </w:p>
    <w:p>
      <w:r>
        <w:t>5.000</w:t>
      </w:r>
    </w:p>
    <w:p>
      <w:r>
        <w:t>2. Tỷ lệ quy đổi từ sản phẩm tài nguyên hoặc sản phẩm công nghiệp ra sản lượng tài nguyên khai thác có trong sản phẩm tài nguyên và sản phẩm công nghiệp</w:t>
      </w:r>
    </w:p>
    <w:p>
      <w:r>
        <w:t>a) Tài nguyên cát san lấp: 1:1.</w:t>
      </w:r>
    </w:p>
    <w:p>
      <w:r>
        <w:t>b) Nước thiên nhiên: 1:1.</w:t>
      </w:r>
    </w:p>
    <w:p>
      <w:r>
        <w:t>Điều 4.  Quyết định này có hiệu lực từ ngày 01 tháng 01 năm 2025 và thay thế Quyết định số 40/2023/QĐ-UBND ngày 20 tháng 12 năm 2023 của Ủy ban nhân dân tỉnh Hậu Giang quy định giá tính thuế tài nguyên năm 2024 trên địa bàn tỉnh Hậu Giang.</w:t>
      </w:r>
    </w:p>
    <w:p>
      <w:r>
        <w:t>Điều 5.  Chánh Văn phòng Ủy ban nhân dân tỉnh; Giám đốc Sở, Thủ trưởng cơ quan, ban, ngành tỉnh; Cục trưởng Cục Thuế tỉnh; Chủ tịch Ủy ban nhân dân huyện, thị xã, thành phố và các tổ chức, cá nhân có liên quan chịu trách nhiệm thi hành Quyết định này./.</w:t>
      </w:r>
    </w:p>
    <w:p>
      <w:r>
        <w:t>Nơi nhận:</w:t>
      </w:r>
    </w:p>
    <w:p>
      <w:r>
        <w:t>- VP. Chính phủ (HN - TP.HCM);</w:t>
      </w:r>
    </w:p>
    <w:p>
      <w:r>
        <w:t>- Bộ Tài chính;</w:t>
      </w:r>
    </w:p>
    <w:p>
      <w:r>
        <w:t>- Bộ Tài nguyên và Môi trường;</w:t>
      </w:r>
    </w:p>
    <w:p>
      <w:r>
        <w:t>- Bộ Xây dựng;</w:t>
      </w:r>
    </w:p>
    <w:p>
      <w:r>
        <w:t>- Tổng Cục Thuế;</w:t>
      </w:r>
    </w:p>
    <w:p>
      <w:r>
        <w:t>- Bộ Tư pháp (Cục Kiểm tra văn bản QPPL);</w:t>
      </w:r>
    </w:p>
    <w:p>
      <w:r>
        <w:t>- TT: TU, HĐND tỉnh, UBND tỉnh;</w:t>
      </w:r>
    </w:p>
    <w:p>
      <w:r>
        <w:t>- Các cơ quan tham mưu giúp việc Tỉnh ủy;</w:t>
      </w:r>
    </w:p>
    <w:p>
      <w:r>
        <w:t>- VP. Đoàn ĐBQH và HĐND tỉnh;</w:t>
      </w:r>
    </w:p>
    <w:p>
      <w:r>
        <w:t>- Các Ban HĐND tỉnh;</w:t>
      </w:r>
    </w:p>
    <w:p>
      <w:r>
        <w:t>- UBMTTQVN, các đoàn thể tỉnh;</w:t>
      </w:r>
    </w:p>
    <w:p>
      <w:r>
        <w:t>- Như Điều 5;</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