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khung giá cho thuê nhà lưu trú công nhân trong khu công nghiệp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38/2024/QĐ-UBND</w:t>
      </w:r>
    </w:p>
    <w:p>
      <w:r>
        <w:t>Tây Ninh, ngày 14 tháng 10 năm 2024</w:t>
      </w:r>
    </w:p>
    <w:p>
      <w:r>
        <w:t>QUYẾT ĐỊNH</w:t>
      </w:r>
    </w:p>
    <w:p>
      <w:r>
        <w:t>QUY ĐỊNH KHUNG GIÁ CHO THUÊ NHÀ LƯU TRÚ CÔNG NHÂN TRONG KHU CÔNG NGHIỆP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2697/TTr-SXD ngày 23 tháng 9 năm 2024.</w:t>
      </w:r>
    </w:p>
    <w:p>
      <w:r>
        <w:t>QUYẾT ĐỊNH:</w:t>
      </w:r>
    </w:p>
    <w:p>
      <w:r>
        <w:t>Điều 1. Phạm vi điều chỉnh và đối tượng áp dụng</w:t>
      </w:r>
    </w:p>
    <w:p>
      <w:r>
        <w:t>1. Phạm vi điều chỉnh</w:t>
      </w:r>
    </w:p>
    <w:p>
      <w:r>
        <w:t>Quyết định này quy định khung giá cho thuê nhà lưu trú công nhân trong khu công nghiệp trên địa bàn tỉnh Tây Ninh.</w:t>
      </w:r>
    </w:p>
    <w:p>
      <w:r>
        <w:t>2. Đối tượng áp dụng</w:t>
      </w:r>
    </w:p>
    <w:p>
      <w:r>
        <w:t>a) Bên cho thuê và bên thuê nhà lưu trú công nhân trong khu công nghiệp;</w:t>
      </w:r>
    </w:p>
    <w:p>
      <w:r>
        <w:t>b) Các cơ quan quản lý nhà nước, các tổ chức, cá nhân có liên quan đến lĩnh vực phát triển và quản lý nhà lưu trú công nhân trong khu công nghiệp trên địa bàn tỉnh Tây Ninh.</w:t>
      </w:r>
    </w:p>
    <w:p>
      <w:r>
        <w:t>Điều 2. Khung giá cho thuê nhà lưu trú công nhân trong khu công nghiệp</w:t>
      </w:r>
    </w:p>
    <w:p>
      <w:r>
        <w:t>Đơn vị tính: đồng/m 2 /tháng</w:t>
      </w:r>
    </w:p>
    <w:p>
      <w:r>
        <w:t>Stt</w:t>
      </w:r>
    </w:p>
    <w:p>
      <w:r>
        <w:t>Loại hình nhà lưu trú công nhân cho thuê</w:t>
      </w:r>
    </w:p>
    <w:p>
      <w:r>
        <w:t>Mức giá cho thuê tối thiểu</w:t>
      </w:r>
    </w:p>
    <w:p>
      <w:r>
        <w:t>Mức giá cho thuê tối đa</w:t>
      </w:r>
    </w:p>
    <w:p>
      <w:r>
        <w:t>I</w:t>
      </w:r>
    </w:p>
    <w:p>
      <w:r>
        <w:t>Nhà chung cư số tầng bằng hoặc nhỏ hơn 5 tầng (≤ 5 tầng)</w:t>
      </w:r>
    </w:p>
    <w:p>
      <w:r>
        <w:t>1</w:t>
      </w:r>
    </w:p>
    <w:p>
      <w:r>
        <w:t>Không có tầng hầm</w:t>
      </w:r>
    </w:p>
    <w:p>
      <w:r>
        <w:t>30.800</w:t>
      </w:r>
    </w:p>
    <w:p>
      <w:r>
        <w:t>56.100</w:t>
      </w:r>
    </w:p>
    <w:p>
      <w:r>
        <w:t>2</w:t>
      </w:r>
    </w:p>
    <w:p>
      <w:r>
        <w:t>Có tầng hầm</w:t>
      </w:r>
    </w:p>
    <w:p>
      <w:r>
        <w:t>36.100</w:t>
      </w:r>
    </w:p>
    <w:p>
      <w:r>
        <w:t>65.600</w:t>
      </w:r>
    </w:p>
    <w:p>
      <w:r>
        <w:t>II</w:t>
      </w:r>
    </w:p>
    <w:p>
      <w:r>
        <w:t>Nhà chung cư số tầng trên 5 tầng đến bằng hoặc nhỏ hơn 10 tầng (5 &lt; số tầng ≤ 10 tầng</w:t>
      </w:r>
    </w:p>
    <w:p>
      <w:r>
        <w:t>1</w:t>
      </w:r>
    </w:p>
    <w:p>
      <w:r>
        <w:t>Không có tầng hầm</w:t>
      </w:r>
    </w:p>
    <w:p>
      <w:r>
        <w:t>39.700</w:t>
      </w:r>
    </w:p>
    <w:p>
      <w:r>
        <w:t>72.300</w:t>
      </w:r>
    </w:p>
    <w:p>
      <w:r>
        <w:t>2</w:t>
      </w:r>
    </w:p>
    <w:p>
      <w:r>
        <w:t>Có tầng hầm</w:t>
      </w:r>
    </w:p>
    <w:p>
      <w:r>
        <w:t>42.800</w:t>
      </w:r>
    </w:p>
    <w:p>
      <w:r>
        <w:t>77.900</w:t>
      </w:r>
    </w:p>
    <w:p>
      <w:r>
        <w:t>III</w:t>
      </w:r>
    </w:p>
    <w:p>
      <w:r>
        <w:t>Nhà chung cư số tầng trên 10 tầng đến bằng hoặc nhỏ hơn 20 tầng (10 &lt; số tầng ≤ 20 tầng)</w:t>
      </w:r>
    </w:p>
    <w:p>
      <w:r>
        <w:t>1</w:t>
      </w:r>
    </w:p>
    <w:p>
      <w:r>
        <w:t>Không có tầng hầm</w:t>
      </w:r>
    </w:p>
    <w:p>
      <w:r>
        <w:t>42.900</w:t>
      </w:r>
    </w:p>
    <w:p>
      <w:r>
        <w:t>78.000</w:t>
      </w:r>
    </w:p>
    <w:p>
      <w:r>
        <w:t>2</w:t>
      </w:r>
    </w:p>
    <w:p>
      <w:r>
        <w:t>Có tầng hầm</w:t>
      </w:r>
    </w:p>
    <w:p>
      <w:r>
        <w:t>48.500</w:t>
      </w:r>
    </w:p>
    <w:p>
      <w:r>
        <w:t>88.100</w:t>
      </w:r>
    </w:p>
    <w:p>
      <w:r>
        <w:t>Điều 3. Nguyên tắc áp dụng khung giá</w:t>
      </w:r>
    </w:p>
    <w:p>
      <w:r>
        <w:t>Giá cho thuê nhà lưu trú công nhân trong khu công nghiệp do bên cho thuê thỏa thuận với bên thuê trong khung giá quy định tại Điều 2 của Quyết định này.</w:t>
      </w:r>
    </w:p>
    <w:p>
      <w:r>
        <w:t>Điều 4. Điều khoản thi hành</w:t>
      </w:r>
    </w:p>
    <w:p>
      <w:r>
        <w:t>1. Quyết định này có hiệu lực kể từ ngày 24 tháng 10 năm 2024.</w:t>
      </w:r>
    </w:p>
    <w:p>
      <w:r>
        <w:t>2. Chánh Văn phòng Ủy ban nhân dân tỉnh; Giám đốc các Sở: Xây dựng, Tài chính; Cục trưởng Cục thuế tỉnh; Trưởng ban Quản lý Khu kinh tế tỉnh; Chủ tịch Ủy ban nhân dân các huyện, thị xã, thành phố; Thủ trưởng các cơ quan; tổ chức và cá nhân có liên quan chịu trách nhiệm thi hành Quyết định này./.</w:t>
      </w:r>
    </w:p>
    <w:p>
      <w:r>
        <w:t>Nơi nhận:</w:t>
      </w:r>
    </w:p>
    <w:p>
      <w:r>
        <w:t>- Văn phòng Chính phủ;</w:t>
      </w:r>
    </w:p>
    <w:p>
      <w:r>
        <w:t>- Vụ Pháp chế - Bộ Xây dựng;</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4;</w:t>
      </w:r>
    </w:p>
    <w:p>
      <w:r>
        <w:t>- Sở Tư pháp;</w:t>
      </w:r>
    </w:p>
    <w:p>
      <w:r>
        <w:t>- Trung tâm Công báo - Tin học tỉnh;</w:t>
      </w:r>
    </w:p>
    <w:p>
      <w:r>
        <w:t>- Báo TN, Đài PT-TH tỉnh;</w:t>
      </w:r>
    </w:p>
    <w:p>
      <w:r>
        <w:t>- Lưu: VT, VP. UBND tỉnh.</w:t>
      </w:r>
    </w:p>
    <w:p>
      <w:r>
        <w:t>BAO.QĐ.24.10.7</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