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3110/QĐ-UBND năm 2023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3110/QĐ-UBND</w:t>
      </w:r>
    </w:p>
    <w:p>
      <w:r>
        <w:t>Cần Thơ, ngày 20 tháng 12 năm 2023</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 .</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Tài chính,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 (1C);</w:t>
      </w:r>
    </w:p>
    <w:p>
      <w:r>
        <w:t>- VP UBND TP (2,3BG);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3110/QĐ-UBND ngày 20 tháng 12 năm 2023 của Chủ tịch Ủy ban nhân dân thành phố)</w:t>
      </w:r>
    </w:p>
    <w:p>
      <w:r>
        <w:t>STT</w:t>
      </w:r>
    </w:p>
    <w:p>
      <w:r>
        <w:t>Tên quy trình nội bộ</w:t>
      </w:r>
    </w:p>
    <w:p>
      <w:r>
        <w:t>1</w:t>
      </w:r>
    </w:p>
    <w:p>
      <w:r>
        <w:t>Giao tài sản kết cấu hạ tầng cấp nước sạch cho doanh nghiệp đang quản lý, sử dụng (đối với kết cấu hạ tầng cấp nước sạch nông thôn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