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2832/QĐ-UBND năm 2024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2832/QĐ-UBND</w:t>
      </w:r>
    </w:p>
    <w:p>
      <w:r>
        <w:t>Cần Thơ, ngày 11 tháng 12 năm 2024</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2832/QĐ-UBND ngày 11 tháng 12 năm 2024 của Chủ tịch Ủy ban nhân dân thành phố)</w:t>
      </w:r>
    </w:p>
    <w:p>
      <w:r>
        <w:t>TT</w:t>
      </w:r>
    </w:p>
    <w:p>
      <w:r>
        <w:t>Tên quy trình nội bộ</w:t>
      </w:r>
    </w:p>
    <w:p>
      <w:r>
        <w:t>1</w:t>
      </w:r>
    </w:p>
    <w:p>
      <w:r>
        <w:t>Đăng ký hoạt động khuyến mại đối với chương trình khuyến mại mang tính may rủi thực hiện trên địa bàn 01 tỉnh, thành phố trực thuộc Trung ương</w:t>
      </w:r>
    </w:p>
    <w:p>
      <w:r>
        <w:t>2</w:t>
      </w:r>
    </w:p>
    <w:p>
      <w:r>
        <w:t>Đăng ký sửa đổi, bổ sung nội dung chương trình khuyến mại đối với chương trình khuyến mại mang tính may rủi thực hiện trên địa bàn 01 tỉnh, thành phố trực thuộc Trung ương</w:t>
      </w:r>
    </w:p>
    <w:p>
      <w:r>
        <w:t>3</w:t>
      </w:r>
    </w:p>
    <w:p>
      <w:r>
        <w:t>Thông báo hoạt động khuyến mại</w:t>
      </w:r>
    </w:p>
    <w:p>
      <w:r>
        <w:t>4</w:t>
      </w:r>
    </w:p>
    <w:p>
      <w:r>
        <w:t>Thông báo sửa đổi, bổ sung nội dung chương trình khuyến mại</w:t>
      </w:r>
    </w:p>
    <w:p>
      <w:r>
        <w:t>5</w:t>
      </w:r>
    </w:p>
    <w:p>
      <w:r>
        <w:t>Đăng ký tổ chức hội chợ, triển lãm thương mại tại Việt Nam</w:t>
      </w:r>
    </w:p>
    <w:p>
      <w:r>
        <w:t>6</w:t>
      </w:r>
    </w:p>
    <w:p>
      <w:r>
        <w:t>Đăng ký sửa đổi, bổ sung nội dung tổ chức hội chợ triển lãm thương mại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