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2569/QĐ-BKHCN năm 2023 công bố Tiêu chuẩn quốc gia về Phúc lợi động vật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2569/QĐ-BKHCN</w:t>
      </w:r>
    </w:p>
    <w:p>
      <w:r>
        <w:t>Hà Nội, ngày 13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7596/BNN-KHCN ngày 23 tháng 10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02 Tiêu chuẩn quốc gia (TCVN) sau đây:</w:t>
      </w:r>
    </w:p>
    <w:p>
      <w:r>
        <w:t>1. TCVN 13904-1:2023</w:t>
      </w:r>
    </w:p>
    <w:p>
      <w:r>
        <w:t>Phúc lợi động vật - Vận chuyển - Phần 1: Trâu, bò</w:t>
      </w:r>
    </w:p>
    <w:p>
      <w:r>
        <w:t>2. TCVN 13905-1:2023</w:t>
      </w:r>
    </w:p>
    <w:p>
      <w:r>
        <w:t>Phúc lợi động vật - Giết mổ - Phần 1: Gia súc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