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2562/QĐ-BKHCN năm 2023 hủy bỏ Tiêu chuẩn quốc gia về Bệnh thuỷ sản và Bệnh động vật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2562/QĐ-BKHCN</w:t>
      </w:r>
    </w:p>
    <w:p>
      <w:r>
        <w:t>Hà Nội, ngày 13 tháng 11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5160/BNN-KHCN ngày 01 tháng 8 năm 2023 và Công văn số 6835/BNN- KHCN ngày 25 tháng 9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04 Tiêu chuẩn quốc gia (TCVN) sau đây:</w:t>
      </w:r>
    </w:p>
    <w:p>
      <w:r>
        <w:t>1.</w:t>
      </w:r>
    </w:p>
    <w:p>
      <w:r>
        <w:t>TCVN 8710-5:2011</w:t>
      </w:r>
    </w:p>
    <w:p>
      <w:r>
        <w:t>Bệnh thuỷ sản - Quy trình chẩn đoán - Phần 5: Bệnh Taura ở tôm he</w:t>
      </w:r>
    </w:p>
    <w:p>
      <w:r>
        <w:t>2.</w:t>
      </w:r>
    </w:p>
    <w:p>
      <w:r>
        <w:t>TCVN 8710-8:2012</w:t>
      </w:r>
    </w:p>
    <w:p>
      <w:r>
        <w:t>Bệnh thuỷ sản - Quy trình chẩn đoán - Phần 8: Bệnh hoại tử cơ ở tôm</w:t>
      </w:r>
    </w:p>
    <w:p>
      <w:r>
        <w:t>3.</w:t>
      </w:r>
    </w:p>
    <w:p>
      <w:r>
        <w:t>TCVN 8400-14:2011</w:t>
      </w:r>
    </w:p>
    <w:p>
      <w:r>
        <w:t>Bệnh động vật - Quy trình chẩn đoán - Phần 14: Bệnh tụ huyết trùng ở trâu, bò</w:t>
      </w:r>
    </w:p>
    <w:p>
      <w:r>
        <w:t>4.</w:t>
      </w:r>
    </w:p>
    <w:p>
      <w:r>
        <w:t>TCVN 8400-31:2015</w:t>
      </w:r>
    </w:p>
    <w:p>
      <w:r>
        <w:t>Bệnh động vật - Quy trình chẩn đoán - Phần 31: Bệnh tụ huyết trùng gia cầm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