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bãi bỏ các Quyết định, Chỉ thị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16/06/2024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21/2024/QĐ-UBND</w:t>
      </w:r>
    </w:p>
    <w:p>
      <w:r>
        <w:t>Gia Lai, ngày 06 tháng 6 năm 2024</w:t>
      </w:r>
    </w:p>
    <w:p>
      <w:r>
        <w:t>QUYẾT ĐỊNH</w:t>
      </w:r>
    </w:p>
    <w:p>
      <w:r>
        <w:t>BÃI BỎ CÁC QUYẾT ĐỊNH, CHỈ THỊ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Khoa học và Công nghệ.</w:t>
      </w:r>
    </w:p>
    <w:p>
      <w:r>
        <w:t>QUYẾT ĐỊNH:</w:t>
      </w:r>
    </w:p>
    <w:p>
      <w:r>
        <w:t>Điều 1. Bãi bỏ toàn bộ các quyết định, chỉ thị</w:t>
      </w:r>
    </w:p>
    <w:p>
      <w:r>
        <w:t>Bãi bỏ toàn bộ các quyết định, chỉ thị sau đây:</w:t>
      </w:r>
    </w:p>
    <w:p>
      <w:r>
        <w:t>1. Chỉ thị số 06/2005/CT-UB ngày 20 tháng 4 năm 2005 của Ủy ban nhân dân tỉnh Gia Lai về việc áp dụng hệ thống quản lý tiên tiến trong các cơ sở sản xuất kinh doanh, dịch vụ và các cơ quan nhà nước trên địa bàn tỉnh Gia Lai.</w:t>
      </w:r>
    </w:p>
    <w:p>
      <w:r>
        <w:t>2. Quyết định số 103/2007/QĐ-UBND ngày 19 tháng 12 năm 2007 của Ủy ban nhân dân tỉnh Gia Lai về việc ban hành Quy chế hỗ trợ doanh nghiệp bảo hộ quyền sở hữu trí tuệ trên địa bàn tỉnh Gia Lai.</w:t>
      </w:r>
    </w:p>
    <w:p>
      <w:r>
        <w:t>3. Quyết định số 20/2011/QĐ-UBND ngày 10 tháng 8 năm 2011 của Ủy ban nhân dân tỉnh Gia Lai về việc ban hành Quy định về quản lý an toàn bức xạ trên địa bàn tỉnh Gia Lai.</w:t>
      </w:r>
    </w:p>
    <w:p>
      <w:r>
        <w:t>4. Quyết định số 27/2016/QĐ-UBND ngày 25 tháng 5 năm 2016 của Ủy ban nhân dân tỉnh Gia Lai về việc ban hành Quy định định mức xây dựng, phân bổ dự toán và quyết toán kinh phí đối với nhiệm vụ khoa học và công nghệ có sử dụng ngân sách nhà nước tỉnh Gia Lai.</w:t>
      </w:r>
    </w:p>
    <w:p>
      <w:r>
        <w:t>Điều 2. Điều khoản thi hành</w:t>
      </w:r>
    </w:p>
    <w:p>
      <w:r>
        <w:t>1. Quyết định này có hiệu lực từ ngày 16 tháng 6 năm 2024.</w:t>
      </w:r>
    </w:p>
    <w:p>
      <w:r>
        <w:t>2. Chánh Văn phòng Ủy ban nhân dân tỉnh; Giám đốc các sở; Thủ trưởng các ban, ngành; Chủ tịch Ủy ban nhân dân các huyện, thị xã, thành phố và các tổ chức, cá nhân khác có liên quan chịu trách nhiệm thi hành Quyết định này./.</w:t>
      </w:r>
    </w:p>
    <w:p>
      <w:r>
        <w:t>Nơi nhận:</w:t>
      </w:r>
    </w:p>
    <w:p>
      <w:r>
        <w:t>- Như Điều 2;</w:t>
      </w:r>
    </w:p>
    <w:p>
      <w:r>
        <w:t>- Cục Kiểm tra văn bản QPPL - Bộ Tư pháp;</w:t>
      </w:r>
    </w:p>
    <w:p>
      <w:r>
        <w:t>- Vụ Pháp chế - Bộ Khoa học và Công nghệ;</w:t>
      </w:r>
    </w:p>
    <w:p>
      <w:r>
        <w:t>- Thường trực Tỉnh ủy;</w:t>
      </w:r>
    </w:p>
    <w:p>
      <w:r>
        <w:t>- Thường trực Hội đồng nhân dân tỉnh;</w:t>
      </w:r>
    </w:p>
    <w:p>
      <w:r>
        <w:t>- Chủ tịch và các PCT UBND tỉnh;</w:t>
      </w:r>
    </w:p>
    <w:p>
      <w:r>
        <w:t>- Sở Tư pháp;</w:t>
      </w:r>
    </w:p>
    <w:p>
      <w:r>
        <w:t>- Công báo tỉnh;</w:t>
      </w:r>
    </w:p>
    <w:p>
      <w:r>
        <w:t>- Cổng Thông tin điện tử tỉnh;</w:t>
      </w:r>
    </w:p>
    <w:p>
      <w:r>
        <w:t>- Lưu: VT, NC,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