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1975/QĐ-CHK năm 2025 về Quy định quản lý, sử dụng máy tính, máy in và các thiết bị trong soạn thảo, in ấn và lưu trữ tài liệu mật của Cục Hàng không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1975/QĐ-CHK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BỘ XÂY DỰNG</w:t>
      </w:r>
    </w:p>
    <w:p>
      <w:r>
        <w:t>CỤC HÀNG KHÔNG VIỆT NAM</w:t>
      </w:r>
    </w:p>
    <w:p>
      <w:r>
        <w:t>-------</w:t>
      </w:r>
    </w:p>
    <w:p>
      <w:r>
        <w:t>CỘNG HÒA XÃ HỘI CHỦ NGHĨA VIỆT NAM</w:t>
      </w:r>
    </w:p>
    <w:p>
      <w:r>
        <w:t>Độc lập - Tự do - Hạnh phúc</w:t>
      </w:r>
    </w:p>
    <w:p>
      <w:r>
        <w:t>---------------</w:t>
      </w:r>
    </w:p>
    <w:p>
      <w:r>
        <w:t>Số: 1975/QĐ-CHK</w:t>
      </w:r>
    </w:p>
    <w:p>
      <w:r>
        <w:t>Hà Nội, ngày 23 tháng 10 năm 2025</w:t>
      </w:r>
    </w:p>
    <w:p>
      <w:r>
        <w:t>QUYẾT ĐỊNH</w:t>
      </w:r>
    </w:p>
    <w:p>
      <w:r>
        <w:t>BAN HÀNH QUY ĐỊNH QUẢN LÝ, SỬ DỤNG MÁY TÍNH, MÁY IN VÀ CÁC THIẾT BỊ TRONG SOẠN THẢO, IN ẤN VÀ LƯU TRỮ TÀI LIỆU MẬT CỦA CỤC HÀNG KHÔNG VIỆT NAM</w:t>
      </w:r>
    </w:p>
    <w:p>
      <w:r>
        <w:t>CỤC TRƯỞNG CỤC HÀNG KHÔNG VIỆT NAM</w:t>
      </w:r>
    </w:p>
    <w:p>
      <w:r>
        <w:t>Căn cứ Luật Cơ yếu số 05/2011/QH13 ngày 26/11/2011;</w:t>
      </w:r>
    </w:p>
    <w:p>
      <w:r>
        <w:t>Căn cứ Luật Bảo vệ bí mật nhà nước ngày 15/11/2018;</w:t>
      </w:r>
    </w:p>
    <w:p>
      <w:r>
        <w:t>Căn cứ Nghị định số 26/2020/NĐ-CP ngày ngày 28/02/2020 của Chính phủ   quy định chi tiết một số điều của Luật Bảo vệ bí mật nhà nước;</w:t>
      </w:r>
    </w:p>
    <w:p>
      <w:r>
        <w:t>Căn cứ Quyết định số 09/QĐ-BXD ngày 01/03/2025 của Bộ trưởng Bộ Xây dựng quy định chức năng nhiệm vụ, quyền hạn và cơ cấu tổ chức của Cục Hàng không Việt Nam;</w:t>
      </w:r>
    </w:p>
    <w:p>
      <w:r>
        <w:t>Căn cứ Quyết định số 43/QĐ-CHK ngày 10/03/2025 của Cục trưởng Cục   Hàng không Việt Nam quy định chức năng nhiệm vụ, quyền hạn của các Phòng,   Thanh tra, Văn phòng thuộc Cục Hàng không Việt Nam;</w:t>
      </w:r>
    </w:p>
    <w:p>
      <w:r>
        <w:t>Căn cứ Quyết định số 745/QĐ-BXD ngày 03/6/2025 của Bộ trưởng Bộ Xây dựng Ban hành Quy chế quản lý, vận hành, khai thác và bảo đảm an toàn thông tin mạng Hệ thống quản lý văn bản, Trục liên thông văn bản Bộ Xây dựng;</w:t>
      </w:r>
    </w:p>
    <w:p>
      <w:r>
        <w:t>Căn cứ Kết luận số 29/KL-X05 ngày 17/12/2024 của Thanh tra Bộ Công an về thanh tra việc chấp hành các quy định của pháp luật về bảo vệ bí mật nhà   nước và an ninh mạng đối với Bộ Giao thông vận tải;</w:t>
      </w:r>
    </w:p>
    <w:p>
      <w:r>
        <w:t>Theo đề nghị của Trưởng phòng Phòng Khoa học, Công nghệ và Môi trường.</w:t>
      </w:r>
    </w:p>
    <w:p>
      <w:r>
        <w:t>QUYẾT ĐỊNH:</w:t>
      </w:r>
    </w:p>
    <w:p>
      <w:r>
        <w:t>Điều 1.  Ban hành kèm theo Quyết định này Quy định quản lý, sử dụng máy tính, máy in và các thiết bị trong soạn thảo, in ấn và lưu trữ tài liệu mật của Cục Hàng không Việt Nam.</w:t>
      </w:r>
    </w:p>
    <w:p>
      <w:r>
        <w:t>Điều 2.  Quyết định này có hiệu lực từ ngày ký ban hành.</w:t>
      </w:r>
    </w:p>
    <w:p>
      <w:r>
        <w:t>Điều 3.  Chánh Văn phòng, Chánh Thanh tra, các Trưởng phòng thuộc Cục Hàng không Việt Nam và thủ trưởng các cơ quan, đơn vị, cá nhân liên quan liên quan chịu trách nhiệm thi hành Quyết định này./.</w:t>
      </w:r>
    </w:p>
    <w:p>
      <w:r>
        <w:t>Nơi nhận:</w:t>
      </w:r>
    </w:p>
    <w:p>
      <w:r>
        <w:t>- Như Điều 3;</w:t>
      </w:r>
    </w:p>
    <w:p>
      <w:r>
        <w:t>- Bộ Xây dựng (để b/c);</w:t>
      </w:r>
    </w:p>
    <w:p>
      <w:r>
        <w:t>- Trung tâm CNTT – Bộ Xây dựng;</w:t>
      </w:r>
    </w:p>
    <w:p>
      <w:r>
        <w:t>- Cục X05, A03,A04, A05 - Bộ Công an;</w:t>
      </w:r>
    </w:p>
    <w:p>
      <w:r>
        <w:t>- Các Phó Cục trưởng (để chỉ đạo);</w:t>
      </w:r>
    </w:p>
    <w:p>
      <w:r>
        <w:t>- Lưu: VT, KHCNMT</w:t>
      </w:r>
    </w:p>
    <w:p>
      <w:r>
        <w:t>CỤC TRƯỞNG</w:t>
      </w:r>
    </w:p>
    <w:p>
      <w:r>
        <w:t>Uông Việt Dũng</w:t>
      </w:r>
    </w:p>
    <w:p>
      <w:r>
        <w:t>QUY ĐỊNH</w:t>
      </w:r>
    </w:p>
    <w:p>
      <w:r>
        <w:t>QUẢN LÝ, SỬ DỤNG MÁY TÍNH, MÁY IN VÀ CÁC THIẾT BỊ TRONG SOẠN THẢO, IN ẤN VÀ LƯU TRỮ TÀI LIỆU BÍ MẬT CỦA CỤC HÀNG KHÔNG VIỆT NAM</w:t>
      </w:r>
    </w:p>
    <w:p>
      <w:r>
        <w:t>(Ban hành kèm theo Quyết định số 1975/QĐ-CHK ngày 23/10/2025 của Cục trưởng Cục Hàng không Việt Nam)</w:t>
      </w:r>
    </w:p>
    <w:p>
      <w:r>
        <w:t>Chương I.</w:t>
      </w:r>
    </w:p>
    <w:p>
      <w:r>
        <w:t>QUY ĐỊNH CHUNG</w:t>
      </w:r>
    </w:p>
    <w:p>
      <w:r>
        <w:t>Điều 1. Phạm vi điều chỉnh và đối tượng áp dụng</w:t>
      </w:r>
    </w:p>
    <w:p>
      <w:r>
        <w:t>1. Phạm vi</w:t>
      </w:r>
    </w:p>
    <w:p>
      <w:r>
        <w:t>Quyết định này quy định về công tác quản lý, sử dụng máy tính, máy in và các thiết bị trong soạn thảo, in ấn và lưu trữ tài liệu mật của Cục Hàng không Việt Nam.</w:t>
      </w:r>
    </w:p>
    <w:p>
      <w:r>
        <w:t>2. Đối tượng áp dụng</w:t>
      </w:r>
    </w:p>
    <w:p>
      <w:r>
        <w:t>Quyết định này áp dụng đối với các phòng thuộc Cục Hàng không Việt Nam và đơn vị trực thuộc Cục Hàng không Việt Nam (sau đây gọi chung là "đơn vị").</w:t>
      </w:r>
    </w:p>
    <w:p>
      <w:r>
        <w:t>Cán bộ, công chức, viên chức và người lao động làm việc trong các cơ quan, đơn vị trực thuộc Cục Hàng không Việt Nam (sau đây gọi chung là "cá nhân").</w:t>
      </w:r>
    </w:p>
    <w:p>
      <w:r>
        <w:t>Các tổ chức, cá nhân cung cấp dịch vụ công nghệ thông tin, an toàn thông tin, an ninh mạng hoặc tham gia kết nối với hệ thống thông tin của Cục Hàng không Việt Nam.</w:t>
      </w:r>
    </w:p>
    <w:p>
      <w:r>
        <w:t>Điều 2. Giải thích từ ngữ</w:t>
      </w:r>
    </w:p>
    <w:p>
      <w:r>
        <w:t>Máy tính mật : là máy tính do đơn vị cấp phát để soạn thảo, lưu trữ tài liệu điện tử có chứa nội dung bí mật nhà nước.</w:t>
      </w:r>
    </w:p>
    <w:p>
      <w:r>
        <w:t>Máy in mật : là máy in dùng riêng cho việc in ấn tài liệu mật, chỉ kết nối với máy tính mật.</w:t>
      </w:r>
    </w:p>
    <w:p>
      <w:r>
        <w:t>Điều 3. Những việc cán bộ, viên chức và người lao động không được làm</w:t>
      </w:r>
    </w:p>
    <w:p>
      <w:r>
        <w:t>1. Soạn thảo, in ấn tài liệu mật trên các máy tính, máy in không phải là máy tính, máy in mật.</w:t>
      </w:r>
    </w:p>
    <w:p>
      <w:r>
        <w:t>2. Kết nối máy tính mật với các loại mạng (mạng Internet, mạng diện rộng, mạng nội bộ, mạng riêng ảo) và các thiết bị ngoại vi (ổ đĩa USB flash, ổ cứng di động, thẻ nhớ,...) trừ các vật chứa bí mật nhà nước theo quy định của pháp luật về bảo vệ bí mật nhà nước.</w:t>
      </w:r>
    </w:p>
    <w:p>
      <w:r>
        <w:t>3. Sao chép dữ liệu từ máy tính mật ra các thiết bị lưu trữ dữ liệu khác trái quy định của pháp luật về bảo vệ bí mật nhà nước.</w:t>
      </w:r>
    </w:p>
    <w:p>
      <w:r>
        <w:t>4. Tự ý cài đặt các phần mềm vào máy tính mật.</w:t>
      </w:r>
    </w:p>
    <w:p>
      <w:r>
        <w:t>5. Truy cập trái phép tài khoản của người khác.</w:t>
      </w:r>
    </w:p>
    <w:p>
      <w:r>
        <w:t>6. Tự ý tháo rời, gây hư hỏng hoặc làm thất lạc các bộ phận, linh kiện máy tính mật, máy in mật.</w:t>
      </w:r>
    </w:p>
    <w:p>
      <w:r>
        <w:t>7. Mang máy tính mật, máy in mật ra khỏi trụ sở cơ quan, đơn vị khi chưa được Cục trưởng, lãnh đạo đơn vị phê duyệt.</w:t>
      </w:r>
    </w:p>
    <w:p>
      <w:r>
        <w:t>Chương II.</w:t>
      </w:r>
    </w:p>
    <w:p>
      <w:r>
        <w:t>QUẢN LÝ, SỬ DỤNG MÁY TÍNH, MÁY IN VÀ CÁC THIẾT BỊ TRONG SOẠN THẢO, IN ẤN VÀ LƯU TRỮ TÀI LIỆU MẬT</w:t>
      </w:r>
    </w:p>
    <w:p>
      <w:r>
        <w:t>Điều 4. Quản lý máy tính mật, máy in mật, vật chứa bí mật nhà nước</w:t>
      </w:r>
    </w:p>
    <w:p>
      <w:r>
        <w:t>Văn phòng Cục chịu trách nhiệm cài đặt hệ điều hành và các ứng dụng phục vụ soạn thảo tài liệu mật trên máy tính mật; triển khai các giải pháp bảo đảm an toàn thông tin cho máy tính mật, máy in mật, vật chứa bí mật nhà nước; kết nối máy tính mật với máy in mật, máy tính mật với vật chứa bí mật nhà nước; thu hồi máy tính mật, máy in mật; tiêu hủy thiết bị lưu trữ tài liệu mật khi không còn sử dụng theo quy định, đảm bảo không thể phục hồi dữ liệu trong thiết bị.</w:t>
      </w:r>
    </w:p>
    <w:p>
      <w:r>
        <w:t>Điều 5. Quản lý tài khoản truy cập.</w:t>
      </w:r>
    </w:p>
    <w:p>
      <w:r>
        <w:t>1. Mỗi người dùng được cấp một tài khoản duy nhất trên máy tính mật và được xác thực khi truy cập.</w:t>
      </w:r>
    </w:p>
    <w:p>
      <w:r>
        <w:t>2. Văn phòng Cục thiết lập chế độ tự khóa màn hình có mật khẩu cho máy tính mật khi không sử dụng; thiết lập chế độ cho phép tài khoản của người cùng phòng được truy cập vào dữ liệu dùng chung của phòng trên máy tính mật để khai thác dữ liệu chuyên ngành được lưu trữ trên máy mật để phục vụ cho công tác chuyên môn và có cơ chế ghi nhận lịch sử truy cập.</w:t>
      </w:r>
    </w:p>
    <w:p>
      <w:r>
        <w:t>3. Trình tự đăng ký tài khoản:</w:t>
      </w:r>
    </w:p>
    <w:p>
      <w:r>
        <w:t>a) Đăng ký tài khoản: Người dùng có nhu cầu sử dụng máy tính mật, thay đổi tài khoản sử dụng máy tính mật phải đăng ký với Văn phòng Cục bằng vản bản và được xác nhận của Trưởng phòng;</w:t>
      </w:r>
    </w:p>
    <w:p>
      <w:r>
        <w:t>b) Văn phòng Cục thực hiện tạo tài khoản người dùng trên máy tính mật sau khi nhận được văn bản đăng ký và được Chánh văn phòng chấp thuận.</w:t>
      </w:r>
    </w:p>
    <w:p>
      <w:r>
        <w:t>4. Cán bộ, viên chức và người lao động khi nghỉ hưu hoặc chuyển công tác ra khỏi Cục Hàng không Việt Nam, trong vòng 07 ngày, kể từ ngày nghỉ hưu hoặc chuyển công tác thì Trưởng phòng phải có trách nhiệm thông báo bằng văn bản đến Văn phòng Cục để xóa tài khoản.</w:t>
      </w:r>
    </w:p>
    <w:p>
      <w:r>
        <w:t>5. Trách nhiệm của người dùng:</w:t>
      </w:r>
    </w:p>
    <w:p>
      <w:r>
        <w:t>a) Bảo mật thông tin tài khoản được cấp. Mật khẩu tài khoản phải có độ dài tối thiểu 8 ký tự và bao gồm chữ thường, chữ hoa, số và ký tự đặc biệt.</w:t>
      </w:r>
    </w:p>
    <w:p>
      <w:r>
        <w:t>b) Người dùng phải thay đổi mật khẩu tài khoản ngay khi được bàn giao hoặc nghi ngờ có dấu hiệu bị lộ mật khẩu;</w:t>
      </w:r>
    </w:p>
    <w:p>
      <w:r>
        <w:t>c) Trong trường hợp quên hoặc nghi ngờ lộ lọt mật khẩu, người dùng phải thông báo ngay cho Văn phòng Cục để thực hiện cấp mới mật khẩu.</w:t>
      </w:r>
    </w:p>
    <w:p>
      <w:r>
        <w:t>Điều 6. Quản lý dữ liệu trên máy tính mật</w:t>
      </w:r>
    </w:p>
    <w:p>
      <w:r>
        <w:t>1. Mỗi người dùng được cấp một phân vùng dữ liệu duy nhất trên máy tính mật và được xác thực khi truy cập, đồng thời được quyền truy cập máy tính mật để khai thác dữ liệu mật dùng chung của phòng/đơn vị khi được Trưởng phòng/Thủ trưởng đơn vị cho phép hoặc phân quyền trên máy tính mật.</w:t>
      </w:r>
    </w:p>
    <w:p>
      <w:r>
        <w:t>2. Phân vùng lưu dữ liệu phải được bảo vệ bằng giải pháp mã hóa dữ liệu đảm bảo không thể truy cập trái phép.</w:t>
      </w:r>
    </w:p>
    <w:p>
      <w:r>
        <w:t>Điều 7. Xử lý sự cố</w:t>
      </w:r>
    </w:p>
    <w:p>
      <w:r>
        <w:t>1. Khi phát hiện sự cố liên quan đến máy tính mật, máy in mật, người dùng phải thông báo ngay cho Văn phòng Cục để xử lý.</w:t>
      </w:r>
    </w:p>
    <w:p>
      <w:r>
        <w:t>2. Việc sửa chữa, thay thế máy tính mật, máy in mật chỉ được tiến hành trong khu vực trụ sở cơ quan và phải do cán bộ kỹ thuật của Văn phòng Cục thực hiện hoặc giám sát. Quá trình sửa chữa, thay thế phải được ghi lại vào sổ nhật ký.</w:t>
      </w:r>
    </w:p>
    <w:p>
      <w:r>
        <w:t>3. Trường hợp thay đổi mục đích sử dụng của máy tính mật: Trước khi thay đổi mục đích sử dụng các máy tính mật, Văn phòng phải dùng các chương trình phần mềm xóa bỏ vĩnh viễn dữ liệu trong ổ cứng máy tính.</w:t>
      </w:r>
    </w:p>
    <w:p>
      <w:r>
        <w:t>Điều 8. Công tác kiểm tra, giám sát</w:t>
      </w:r>
    </w:p>
    <w:p>
      <w:r>
        <w:t>1. Văn phòng Cục chủ trì, phối hợp với các phòng tổ chức kiểm tra định kỳ hằng năm, đột xuất việc thực hiện Quy định này. Báo cáo Cục trưởng sau khi kết thúc kiểm tra.</w:t>
      </w:r>
    </w:p>
    <w:p>
      <w:r>
        <w:t>2. Phòng Khoa học, Công nghệ và Môi trường chủ trì, phối hợp Văn phòng mời các đơn vị chuyên trách về an ninh, an toàn mạng thông tin, bảo vệ bí mật nhà nước của Bộ Công an kiểm tra, phát hiện lỗ hổng trong quản lý, sử dụng máy tính, máy in và các thiết bị trong soạn thảo, in ấn và lưu trữ tài liệu mật để kịp thời phòng ngừa, khắc phục.</w:t>
      </w:r>
    </w:p>
    <w:p>
      <w:r>
        <w:t>3. Các hành vi vi phạm Quy định này sẽ được xử lý theo quy định của pháp luật về bảo vệ bí mật nhà nước.</w:t>
      </w:r>
    </w:p>
    <w:p>
      <w:r>
        <w:t>Chương III.</w:t>
      </w:r>
    </w:p>
    <w:p>
      <w:r>
        <w:t>TỔ CHỨC THỰC HIỆN</w:t>
      </w:r>
    </w:p>
    <w:p>
      <w:r>
        <w:t>Điều 9. Trách nhiệm thi hành.</w:t>
      </w:r>
    </w:p>
    <w:p>
      <w:r>
        <w:t>1. Văn phòng Cục chủ trì, phối hợp với các cơ quan, đơn vị thuộc Cục Hàng không Việt Nam triển khai hướng dẫn, đôn đốc việc thực hiện Quy định này.</w:t>
      </w:r>
    </w:p>
    <w:p>
      <w:r>
        <w:t>2. Chánh Văn phòng, Chánh thanh tra, các Trưởng phòng thuộc Cục Hàng không Việt Nam và thủ trưởng các cơ quan, đơn vị, cá nhân liên quan liên quan chịu trách nhiệm thi hành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