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143/QĐ-BCT năm 2025 áp dụng biện pháp chống bán phá giá chính thức đối với sản phẩm cáp thép dự ứng lực từ Ma-lai-xi-a,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29/01/2025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143/QĐ-BCT</w:t>
      </w:r>
    </w:p>
    <w:p>
      <w:r>
        <w:t>Hà Nội, ngày 14 tháng 01 năm 2025</w:t>
      </w:r>
    </w:p>
    <w:p>
      <w:r>
        <w:t>QUYẾT ĐỊNH</w:t>
      </w:r>
    </w:p>
    <w:p>
      <w:r>
        <w:t>ÁP DỤNG BIỆN PHÁP CHỐNG BÁN PHÁ GIÁ CHÍNH THỨC ĐỐI VỚI SẢN PHẨM CÁP THÉP DỰ ỨNG LỰC CÓ XUẤT XỨ TỪ MA-LAI-XI-A, VƯƠNG QUỐC THÁI LAN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1704/QĐ-BCT ngày 05 tháng 7 năm 2023 của Bộ trưởng Bộ Công Thương về việc điều tra áp dụng biện pháp chống bán phá giá đối với sản phẩm cáp thép dự ứng lực từ Ma-lai-xi-a, Vương quốc Thái Lan và Cộng hòa nhân dân Trung Hoa;</w:t>
      </w:r>
    </w:p>
    <w:p>
      <w:r>
        <w:t>Căn cứ Quyết định số 1360/QĐ-BCT ngày 05 tháng 6 năm 2024 của Bộ trưởng Bộ Công Thương về việc gia hạn thời hạn điều tra áp dụng biện pháp chống bán phá giá đối với sản phẩm cáp thép dự ứng lực từ Ma-lai-xi-a, Vương quốc Thái Lan và Cộng hòa nhân dân Trung Hoa (mã vụ việc: AD17);</w:t>
      </w:r>
    </w:p>
    <w:p>
      <w:r>
        <w:t>Theo đề nghị của Cục trưởng Cục Phòng vệ thương mại.</w:t>
      </w:r>
    </w:p>
    <w:p>
      <w:r>
        <w:t>QUYẾT ĐỊNH:</w:t>
      </w:r>
    </w:p>
    <w:p>
      <w:r>
        <w:t>Điều 1.  Áp dụng thuế chống bán phá giá chính thức đối với sản phẩm cáp thép dự ứng lực được phân loại theo các mã HS 7312.10.91 và 7312.10.99 từ Ma-lai-xi-a, Vương quốc Thái Lan và Cộng hòa nhân dân Trung Hoa (mã vụ việc: AD17) với nội dung chi tiết nêu tại Thông báo kèm theo Quyết định này.</w:t>
      </w:r>
    </w:p>
    <w:p>
      <w:r>
        <w:t>Điều 2.  Quyết định này có hiệu lực sau 15 ngày kể từ ngày ban hành.</w:t>
      </w:r>
    </w:p>
    <w:p>
      <w:r>
        <w:t>Điều 3.  Chánh Văn phòng Bộ, Cục trưởng Cục Phòng vệ thương mại và Thủ trưởng các đơn vị, các bên liên quan chịu trách nhiệm thi hành Quyết định này./.</w:t>
      </w:r>
    </w:p>
    <w:p>
      <w:r>
        <w:t>Nơi nhận:</w:t>
      </w:r>
    </w:p>
    <w:p>
      <w:r>
        <w:t>- Như Điều 3;</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ÁP DỤNG THUẾ CHỐNG BÁN PHÁ GIÁ CHÍNH THỨC ĐỐI VỚI SẢN PHẨM CÁP THÉP DỰ ỨNG LỰC CÓ XUẤT XỨ TỪ MA-LAI-XI-A, VƯƠNG QUỐC THÁI LAN VÀ CỘNG HÒA NHÂN DÂN TRUNG HOA</w:t>
      </w:r>
    </w:p>
    <w:p>
      <w:r>
        <w:t>(Kèm theo Quyết định số 143/QĐ-BCT ngày 14 tháng 01 năm 2025 của Bộ trưởng Bộ Công Thương)</w:t>
      </w:r>
    </w:p>
    <w:p>
      <w:r>
        <w:t>1. Hàng hóa bị áp dụng thuế chống bán phá giá chính thức</w:t>
      </w:r>
    </w:p>
    <w:p>
      <w:r>
        <w:t>Hàng hóa bị áp dụng thuế chống bán phá giá (CBPG) chính thức là sản phẩm cáp thép dự ứng lực có xuất xứ từ Ma-lai-xi-a, Vương quốc Thái Lan (Thái Lan) và Cộng hòa nhân dân Trung Hoa (Trung Quốc).</w:t>
      </w:r>
    </w:p>
    <w:p>
      <w:r>
        <w:t>a) Tên gọi và đặc tính cơ bản</w:t>
      </w:r>
    </w:p>
    <w:p>
      <w:r>
        <w:t>Phạm vi hàng hóa bị áp dụng thuế chống bán phá giá chính thức bao gồm các sản phẩm cáp thép dự ứng lực có mô tả như sau:</w:t>
      </w:r>
    </w:p>
    <w:p>
      <w:r>
        <w:t>- Cáp thép dự ứng lực (PC Strand) là sản phẩm cáp bện, gồm nhiều sợi kim loại trong đó có 01 sợi tâm và 06 sợi bện ngoài. Các sợi này được cấu thành từ sắt, thép hợp kim hoặc không hợp kim có đường kính định danh của cáp thép (nominal diameter) từ 9,0 đến 16,0mm, không bọc nhựa, có hoặc không phủ lớp dầu chống gỉ.</w:t>
      </w:r>
    </w:p>
    <w:p>
      <w:r>
        <w:t>- Cáp thép dự ứng lực được sản xuất từ thép nguyên liệu carbon cao, có hàm lượng carbon từ 0,70% trở lên.</w:t>
      </w:r>
    </w:p>
    <w:p>
      <w:r>
        <w:t>b) Mã số hàng hóa (Mã HS)</w:t>
      </w:r>
    </w:p>
    <w:p>
      <w:r>
        <w:t>Sản phẩm cáp thép dự ứng lực bị áp dụng thuế CBPG có thể được phân loại theo các mã HS 7312.10.91 và 7312.10.99.</w:t>
      </w:r>
    </w:p>
    <w:p>
      <w:r>
        <w:t>Bộ Công Thương có thể sửa đổi, bổ sung danh sách các mã HS của hàng hóa bị áp dụng thuế CBPG chính thức để phù hợp với mô tả hàng hóa bị điều tra và các thay đổi khác (nếu có).</w:t>
      </w:r>
    </w:p>
    <w:p>
      <w:r>
        <w:t>2. Kết luận điều tra</w:t>
      </w:r>
    </w:p>
    <w:p>
      <w:r>
        <w:t>Kết luận điều tra cuối cùng của Cơ quan điều tra xác định rằng: (i) hàng hóa nhập khẩu vào Việt Nam bị bán phá giá; (ii) có việc ngăn cản sự hình thành của ngành sản xuất trong nước; và (iii) có mối quan hệ nhân quả giữa việc nhập khẩu hàng hóa bị bán phá giá với việc ngăn cản sự hình thành của ngành sản xuất trong nước.</w:t>
      </w:r>
    </w:p>
    <w:p>
      <w:r>
        <w:t>Cơ quan điều tra đã gửi dự thảo Kết luận điều tra cuối cùng cho các bên liên quan đóng góp ý kiến theo quy định.</w:t>
      </w:r>
    </w:p>
    <w:p>
      <w:r>
        <w:t>3. Mức thuế CBPG chính thức</w:t>
      </w:r>
    </w:p>
    <w:p>
      <w:r>
        <w:t>STT</w:t>
      </w:r>
    </w:p>
    <w:p>
      <w:r>
        <w:t>Tên tổ chức, cá nhân sản xuất, xuất khẩu</w:t>
      </w:r>
    </w:p>
    <w:p>
      <w:r>
        <w:t>Tên công ty thương mại liên quan</w:t>
      </w:r>
    </w:p>
    <w:p>
      <w:r>
        <w:t>Biên độ bán phá giá</w:t>
      </w:r>
    </w:p>
    <w:p>
      <w:r>
        <w:t>(Cột 1)</w:t>
      </w:r>
    </w:p>
    <w:p>
      <w:r>
        <w:t>(Cột 2)</w:t>
      </w:r>
    </w:p>
    <w:p>
      <w:r>
        <w:t>(Cột 3)</w:t>
      </w:r>
    </w:p>
    <w:p>
      <w:r>
        <w:t>MA-LAI-XI-A</w:t>
      </w:r>
    </w:p>
    <w:p>
      <w:r>
        <w:t>1</w:t>
      </w:r>
    </w:p>
    <w:p>
      <w:r>
        <w:t>Kiswire Sdn. Bhd.</w:t>
      </w:r>
    </w:p>
    <w:p>
      <w:r>
        <w:t>9,79%</w:t>
      </w:r>
    </w:p>
    <w:p>
      <w:r>
        <w:t>2</w:t>
      </w:r>
    </w:p>
    <w:p>
      <w:r>
        <w:t>Southern PC Steel Sdn Bhd</w:t>
      </w:r>
    </w:p>
    <w:p>
      <w:r>
        <w:t>10,99%</w:t>
      </w:r>
    </w:p>
    <w:p>
      <w:r>
        <w:t>3</w:t>
      </w:r>
    </w:p>
    <w:p>
      <w:r>
        <w:t>Tổ chức, cá nhân khác sản xuất, xuất khẩu hàng hóa có xuất xứ từ Ma-lai-xi-a</w:t>
      </w:r>
    </w:p>
    <w:p>
      <w:r>
        <w:t>12,06%</w:t>
      </w:r>
    </w:p>
    <w:p>
      <w:r>
        <w:t>THÁI LAN</w:t>
      </w:r>
    </w:p>
    <w:p>
      <w:r>
        <w:t>4</w:t>
      </w:r>
    </w:p>
    <w:p>
      <w:r>
        <w:t>Thai Wire Products Public Company Limited</w:t>
      </w:r>
    </w:p>
    <w:p>
      <w:r>
        <w:t>11%</w:t>
      </w:r>
    </w:p>
    <w:p>
      <w:r>
        <w:t>5</w:t>
      </w:r>
    </w:p>
    <w:p>
      <w:r>
        <w:t>The Siam Industrial Wire Co., Ltd.</w:t>
      </w:r>
    </w:p>
    <w:p>
      <w:r>
        <w:t>11%</w:t>
      </w:r>
    </w:p>
    <w:p>
      <w:r>
        <w:t>6</w:t>
      </w:r>
    </w:p>
    <w:p>
      <w:r>
        <w:t>Tổ chức, cá nhân khác sản xuất, xuất khẩu hàng hóa có xuất xứ từ Thái Lan</w:t>
      </w:r>
    </w:p>
    <w:p>
      <w:r>
        <w:t>11%</w:t>
      </w:r>
    </w:p>
    <w:p>
      <w:r>
        <w:t>TRUNG QUỐC</w:t>
      </w:r>
    </w:p>
    <w:p>
      <w:r>
        <w:t>7</w:t>
      </w:r>
    </w:p>
    <w:p>
      <w:r>
        <w:t>Tianjin Dalu Steel Strand For Prestressed Co., Ltd</w:t>
      </w:r>
    </w:p>
    <w:p>
      <w:r>
        <w:t>Tianjin Dalu International Trade Co., Ltd</w:t>
      </w:r>
    </w:p>
    <w:p>
      <w:r>
        <w:t>28%</w:t>
      </w:r>
    </w:p>
    <w:p>
      <w:r>
        <w:t>8</w:t>
      </w:r>
    </w:p>
    <w:p>
      <w:r>
        <w:t>Guangxi Free Trade Zone Baochang Lianda New Material Co., Ltd</w:t>
      </w:r>
    </w:p>
    <w:p>
      <w:r>
        <w:t>28%</w:t>
      </w:r>
    </w:p>
    <w:p>
      <w:r>
        <w:t>Henan Hengxing PC Steel Product Co., Ltd</w:t>
      </w:r>
    </w:p>
    <w:p>
      <w:r>
        <w:t>9</w:t>
      </w:r>
    </w:p>
    <w:p>
      <w:r>
        <w:t>Jiangyin Hongyu Steel Products Co., Ltd.</w:t>
      </w:r>
    </w:p>
    <w:p>
      <w:r>
        <w:t>Fasten Group Imp. &amp; Exp. Co., Ltd. và Fasten Group Import And Export Hong Kong Limited</w:t>
      </w:r>
    </w:p>
    <w:p>
      <w:r>
        <w:t>28%</w:t>
      </w:r>
    </w:p>
    <w:p>
      <w:r>
        <w:t>Jiangyin Fasten Steel Products Co., Ltd.</w:t>
      </w:r>
    </w:p>
    <w:p>
      <w:r>
        <w:t>10</w:t>
      </w:r>
    </w:p>
    <w:p>
      <w:r>
        <w:t>Shandong Jingwei Steel Cord Co., Ltd</w:t>
      </w:r>
    </w:p>
    <w:p>
      <w:r>
        <w:t>Yogiant International Limited</w:t>
      </w:r>
    </w:p>
    <w:p>
      <w:r>
        <w:t>18,74%</w:t>
      </w:r>
    </w:p>
    <w:p>
      <w:r>
        <w:t>11</w:t>
      </w:r>
    </w:p>
    <w:p>
      <w:r>
        <w:t>Silvery Dragon Prestressed Materials Co.,LTD Tianjin</w:t>
      </w:r>
    </w:p>
    <w:p>
      <w:r>
        <w:t>Silvery Dragon Group Technology and Trading Co., Ltd Tianjin</w:t>
      </w:r>
    </w:p>
    <w:p>
      <w:r>
        <w:t>28%</w:t>
      </w:r>
    </w:p>
    <w:p>
      <w:r>
        <w:t>Hejian Baozelong Metal Materials Co., Ltd</w:t>
      </w:r>
    </w:p>
    <w:p>
      <w:r>
        <w:t>Tianjin Yinlong Prestressed Materials Co., Ltd. Hejian Branch</w:t>
      </w:r>
    </w:p>
    <w:p>
      <w:r>
        <w:t>Xinjiang Yinlong Prestressed Material Co., Ltd</w:t>
      </w:r>
    </w:p>
    <w:p>
      <w:r>
        <w:t>12</w:t>
      </w:r>
    </w:p>
    <w:p>
      <w:r>
        <w:t>Boxing Victory Metal Materials Co., Ltd</w:t>
      </w:r>
    </w:p>
    <w:p>
      <w:r>
        <w:t>Guangdong Longtime International Trade Co., Ltd</w:t>
      </w:r>
    </w:p>
    <w:p>
      <w:r>
        <w:t>10,48%</w:t>
      </w:r>
    </w:p>
    <w:p>
      <w:r>
        <w:t>13</w:t>
      </w:r>
    </w:p>
    <w:p>
      <w:r>
        <w:t>Tổ chức, cá nhân khác sản xuất, xuất khẩu hàng hóa có xuất xứ từ Trung Quốc</w:t>
      </w:r>
    </w:p>
    <w:p>
      <w:r>
        <w:t>28%</w:t>
      </w:r>
    </w:p>
    <w:p>
      <w:r>
        <w:t>4. Hiệu lực và thời hạn áp dụng thuế CBPG chính thức</w:t>
      </w:r>
    </w:p>
    <w:p>
      <w:r>
        <w:t>a) Hiệu lực</w:t>
      </w:r>
    </w:p>
    <w:p>
      <w:r>
        <w:t>Thuế CBPG chính thức có hiệu lực kể từ ngày Quyết định áp dụng biện pháp CBPG chính thức có hiệu lực.</w:t>
      </w:r>
    </w:p>
    <w:p>
      <w:r>
        <w:t>b) Thời hạn áp dụng</w:t>
      </w:r>
    </w:p>
    <w:p>
      <w:r>
        <w:t>Thời hạn áp dụng thuế CBPG chính thức là 05 (năm) năm kể từ ngày Quyết định áp dụng biện pháp CBPG chính thức có hiệu lực (trừ trường hợp được thay đổi, gia hạn theo Quyết định khác của Bộ trưởng Bộ Công Thương).</w:t>
      </w:r>
    </w:p>
    <w:p>
      <w:r>
        <w:t>5. Thủ tục, hồ sơ kiểm tra và áp dụng thuế CBPG chính thức</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CBPG chính thức là 28%.</w:t>
      </w:r>
    </w:p>
    <w:p>
      <w:r>
        <w:t>- Trường hợp 2: Nếu người khai hải quan nộp được chứng từ chứng nhận xuất xứ hàng hóa từ nước, vùng lãnh thổ khác không phải là Ma-lai-xi-a, Thái Lan hoặc Trung Quốc thì không phải nộp thuế CBPG chính thức.</w:t>
      </w:r>
    </w:p>
    <w:p>
      <w:r>
        <w:t>- Trường hợp 3: Nếu người khai hải quan nộp được chứng từ chứng nhận xuất xứ hàng hóa từ Ma-lai-xi-a, Thái Lan hoặc Trung Quốc thì chuyển sang Bước 2.</w:t>
      </w:r>
    </w:p>
    <w:p>
      <w:r>
        <w:t>Bước 2: Kiểm tra Giấy chứng nhận chất lượng (bản gốc)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3 của Thông báo này thì nộp thuế CBPG ở mức như sau:</w:t>
      </w:r>
    </w:p>
    <w:p>
      <w:r>
        <w:t>+ 12,06% đối với hàng hóa có chứng từ chứng nhận xuất xứ từ Ma-lai-xi-a;</w:t>
      </w:r>
    </w:p>
    <w:p>
      <w:r>
        <w:t>+ 11% đối với hàng hóa có chứng từ chứng nhận xuất xứ từ Thái Lan; và</w:t>
      </w:r>
    </w:p>
    <w:p>
      <w:r>
        <w:t>+ 28% đối với hàng hóa có chứng từ chứng nhận xuất xứ từ Trung Quốc.</w:t>
      </w:r>
    </w:p>
    <w:p>
      <w:r>
        <w:t>- Trường hợp 2: Nếu người khai hải quan nộp được Giấy chứng nhận nhà sản xuất và tên tổ chức, cá nhân trên Giấy chứng nhận trùng với tổ chức, cá nhân nêu tại Cột 1 Mục 3 của Thông báo này thì chuyển sang Bước 3.</w:t>
      </w:r>
    </w:p>
    <w:p>
      <w:r>
        <w:t>Bước 3: Kiểm tra tên tổ chức, cá nhân sản xuất, xuất khẩu</w:t>
      </w:r>
    </w:p>
    <w:p>
      <w:r>
        <w:t>- Trường hợp 1: Nếu tên tổ chức, cá nhân sản xuất, xuất khẩu (dựa trên hợp đồng mua bán, hóa đơn thương mại) trùng với tên tổ chức, cá nhân nêu tại Cột 1 hoặc trùng với tên tổ chức, cá nhân tương ứng theo hàng ngang tại Cột 2 thì nộp mức thuế tương ứng theo hàng ngang tại Cột 3 Mục 3 của Thông báo này.</w:t>
      </w:r>
    </w:p>
    <w:p>
      <w:r>
        <w:t>- Trường hợp 2: Nếu tên tổ chức, cá nhân sản xuất, xuất khẩu (dựa trên hợp đồng mua bán, hóa đơn thương mại) không trùng với tên tổ chức, cá nhân nêu tại Cột 1 Mục 3 hoặc không trùng với tên tổ chức, cá nhân tương ứng theo hàng ngang tại Cột 2 Mục 3 thì nộp thuế CBPG ở mức như sau:</w:t>
      </w:r>
    </w:p>
    <w:p>
      <w:r>
        <w:t>+ 12,06% đối với hàng hóa có chứng từ chứng nhận xuất xứ từ Ma-lai-xi-a;</w:t>
      </w:r>
    </w:p>
    <w:p>
      <w:r>
        <w:t>+ 11% đối với hàng hóa có chứng từ chứng nhận xuất xứ từ Thái Lan; và</w:t>
      </w:r>
    </w:p>
    <w:p>
      <w:r>
        <w:t>+ 28% đối với hàng hóa có chứng từ chứng nhận xuất xứ từ Trung Quốc.</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