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115/2025/QĐ-UBND bãi bỏ các Quyết định của Ủy ban nhân dân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115/2025/QĐ-UBND</w:t>
      </w:r>
    </w:p>
    <w:p>
      <w:r>
        <w:t>Huế, ngày 05 tháng 11 năm 2025</w:t>
      </w:r>
    </w:p>
    <w:p>
      <w:r>
        <w:t>QUYẾT ĐỊNH</w:t>
      </w:r>
    </w:p>
    <w:p>
      <w:r>
        <w:t>BÃI BỎ CÁC QUYẾT ĐỊNH CỦA ỦY BAN NHÂN DÂN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hoá và xử lý văn bản quy phạm pháp luật;</w:t>
      </w:r>
    </w:p>
    <w:p>
      <w:r>
        <w:t>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Tài chính;</w:t>
      </w:r>
    </w:p>
    <w:p>
      <w:r>
        <w:t>Ủy ban nhân dân ban hành Quyết định bãi bỏ các quyết định của Ủy ban nhân dân thành phố Huế.</w:t>
      </w:r>
    </w:p>
    <w:p>
      <w:r>
        <w:t>Điều 1. Bãi bỏ toàn bộ các quyết định</w:t>
      </w:r>
    </w:p>
    <w:p>
      <w:r>
        <w:t>Bãi bỏ toàn bộ các quyết định sau đây:</w:t>
      </w:r>
    </w:p>
    <w:p>
      <w:r>
        <w:t>1. Quyết định số 07/2023/QĐ-UBND ngày 03/02/2023 của Ủy ban nhân dân tỉnh Thừa Thiên Huế quy định Hệ số điều chỉnh giá đất năm 2023 trên địa bàn tỉnh Thừa Thiên Huế.</w:t>
      </w:r>
    </w:p>
    <w:p>
      <w:r>
        <w:t>2. Quyết định số 27/2024/QĐ-UBND ngày 28/5/2024 của Ủy ban nhân dân tỉnh Thừa Thiên Huế quy định Hệ số điều chỉnh giá đất năm 2024 trên địa bàn tỉnh Thừa Thiên Huế.</w:t>
      </w:r>
    </w:p>
    <w:p>
      <w:r>
        <w:t>Điều 2. Điều khoản thi hành</w:t>
      </w:r>
    </w:p>
    <w:p>
      <w:r>
        <w:t>1. Quyết định này có hiệu lực thi hành kể từ ngày 15 tháng 11 năm 2025.</w:t>
      </w:r>
    </w:p>
    <w:p>
      <w:r>
        <w:t>2. Chánh Văn phòng Ủy ban nhân dân thành phố; Giám đốc các Sở: Tài chính, Nông nghiệp và Môi trường, Tư pháp; Thủ trưởng các cơ quan chuyên môn, đơn vị sự nghiệp thuộc Ủy ban nhân dân thành phố; Chủ tịch Ủy ban nhân dân cấp xã và Thủ trưởng các cơ quan, tổ chức, cá nhân có liên quan chịu trách nhiệm thi hành quyết định này./.</w:t>
      </w:r>
    </w:p>
    <w:p>
      <w:r>
        <w:t>Nơi nhận:</w:t>
      </w:r>
    </w:p>
    <w:p>
      <w:r>
        <w:t>- Như khoản 2 Điều 2;</w:t>
      </w:r>
    </w:p>
    <w:p>
      <w:r>
        <w:t>- Các Bộ: Tài chính; Nông nghiệp và Môi trường;</w:t>
      </w:r>
    </w:p>
    <w:p>
      <w:r>
        <w:t>- Thường vụ Thành ủy;</w:t>
      </w:r>
    </w:p>
    <w:p>
      <w:r>
        <w:t>- HĐND; TT HĐND thành phố;</w:t>
      </w:r>
    </w:p>
    <w:p>
      <w:r>
        <w:t>- Các Phó Chủ tịch UBND thành phố;</w:t>
      </w:r>
    </w:p>
    <w:p>
      <w:r>
        <w:t>- Các cơ quan chuyên môn, đơn vị trực thuộc UBND thành phố;</w:t>
      </w:r>
    </w:p>
    <w:p>
      <w:r>
        <w:t>- HĐND, UBND các xã, phường;</w:t>
      </w:r>
    </w:p>
    <w:p>
      <w:r>
        <w:t>- VP: các PCVP và các CV,</w:t>
      </w:r>
    </w:p>
    <w:p>
      <w:r>
        <w:t>- Cổng thông tin Điện tử thành phố;</w:t>
      </w:r>
    </w:p>
    <w:p>
      <w:r>
        <w:t>- Công báo thành phố;</w:t>
      </w:r>
    </w:p>
    <w:p>
      <w:r>
        <w:t>- Lưu: VT, ĐC, QHXT,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