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bãi bỏ các Quyết định của Ủy ban nhân dân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09/2024/QĐ-UBND</w:t>
      </w:r>
    </w:p>
    <w:p>
      <w:r>
        <w:t>Hải Dương, ngày 10 tháng 4 năm 2024</w:t>
      </w:r>
    </w:p>
    <w:p>
      <w:r>
        <w:t>QUYẾT ĐỊNH</w:t>
      </w:r>
    </w:p>
    <w:p>
      <w:r>
        <w:t>BÃI BỎ CÁC QUYẾT ĐỊNH CỦA ỦY BAN NHÂN DÂN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Theo đề nghị của Giám đốc Sở Công Thương.</w:t>
      </w:r>
    </w:p>
    <w:p>
      <w:r>
        <w:t>QUYẾT ĐỊNH:</w:t>
      </w:r>
    </w:p>
    <w:p>
      <w:r>
        <w:t>Điều 1. Bãi bỏ toàn bộ các Quyết định</w:t>
      </w:r>
    </w:p>
    <w:p>
      <w:r>
        <w:t>Bãi bỏ toàn bộ các quyết định sau đây:</w:t>
      </w:r>
    </w:p>
    <w:p>
      <w:r>
        <w:t>1. Quyết định số 3562/2006/QĐ-UBND ngày 16 ngày 10 năm 2006 của Ủy ban nhân dân tỉnh Hải Dương về việc ban hành Quy định một số biện pháp bảo vệ an toàn công trình lưới điện trong hoạt động xây dựng trên địa bàn tỉnh Hải Dương.</w:t>
      </w:r>
    </w:p>
    <w:p>
      <w:r>
        <w:t>2. Quyết định số 01/2010/QĐ-UBND ngày 13 tháng 01 năm 2010 của Ủy ban nhân dân tỉnh Hải Dương về việc ban hành quy định việc sử dụng chung cột điện trên địa bàn tỉnh Hải Dương.</w:t>
      </w:r>
    </w:p>
    <w:p>
      <w:r>
        <w:t>3. Quyết định số 04/2013/QĐ-UBND ngày 26 tháng 4 năm 2013 của Ủy ban nhân dân tỉnh Hải Dương về việc ban hành Quy chế Quản lý hoạt động vật liệu nổ công nghiệp trên địa bàn tỉnh Hải Dương.</w:t>
      </w:r>
    </w:p>
    <w:p>
      <w:r>
        <w:t>4. Quyết định số 31/2018/QĐ-UBND ngày 06 tháng 12 năm 2018 của Ủy ban nhân dân tỉnh Hải Dương về việc sửa đổi, bãi bỏ một số nội dung của Quyết định số 04/2013/QĐ-UBND ngày 26 tháng 4 năm 2013 của Ủy ban nhân dân tỉnh.</w:t>
      </w:r>
    </w:p>
    <w:p>
      <w:r>
        <w:t>Điều 2. Điều khoản thi hành</w:t>
      </w:r>
    </w:p>
    <w:p>
      <w:r>
        <w:t>1. Quyết định này có hiệu lực kể từ ngày 22 tháng 4 năm 2024.</w:t>
      </w:r>
    </w:p>
    <w:p>
      <w:r>
        <w:t>2. Chánh Văn phòng Ủy ban nhân dân tỉnh, Giám đốc Sở Công Thương, Giám đốc Sở Tư pháp; Thủ trưởng các sở, ban, ngành của tỉnh; Chủ tịch Ủy ban nhân dân các huyện, thị xã, thành phố và các tổ chức, cá nhân có liên quan chịu trách nhiệm thi hành Quyết định này./.</w:t>
      </w:r>
    </w:p>
    <w:p>
      <w:r>
        <w:t>Nơi nhận:</w:t>
      </w:r>
    </w:p>
    <w:p>
      <w:r>
        <w:t>- Như Điều 2;</w:t>
      </w:r>
    </w:p>
    <w:p>
      <w:r>
        <w:t>- Văn phòng Chính phủ;</w:t>
      </w:r>
    </w:p>
    <w:p>
      <w:r>
        <w:t>- Bộ Công Thương;</w:t>
      </w:r>
    </w:p>
    <w:p>
      <w:r>
        <w:t>- Cục Kiểm tra VBQPPL - Bộ Tư pháp;</w:t>
      </w:r>
    </w:p>
    <w:p>
      <w:r>
        <w:t>- Thường trực Tỉnh ủy;</w:t>
      </w:r>
    </w:p>
    <w:p>
      <w:r>
        <w:t>- Thường trực HĐND tỉnh;</w:t>
      </w:r>
    </w:p>
    <w:p>
      <w:r>
        <w:t>- Đoàn Đại biểu Quốc hội tỉnh;</w:t>
      </w:r>
    </w:p>
    <w:p>
      <w:r>
        <w:t>- Chủ tịch và các Phó Chủ tịch UBND tỉnh;</w:t>
      </w:r>
    </w:p>
    <w:p>
      <w:r>
        <w:t>- Chánh Văn phòng và các PCVP UBND tỉnh;</w:t>
      </w:r>
    </w:p>
    <w:p>
      <w:r>
        <w:t>- Trung tâm CNTT - VP UBND tỉnh;</w:t>
      </w:r>
    </w:p>
    <w:p>
      <w:r>
        <w:t>- Lưu: VT, KTN.lqđ.(18).</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