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 chuẩn kỹ thuật quốc gia QCVN 48:2024/BGTVT về Phân cấp và giám sát kỹ thuật giàn di động trên biển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QCVN48:2024/BGTVT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 chuẩn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28/06/2024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01/02/2025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QCVN 48:2024/BGTVT</w:t>
      </w:r>
    </w:p>
    <w:p>
      <w:r>
        <w:t>QUY CHUẨN   KỸ THUẬT QUỐC GIA VỀ PHÂN CẤP VÀ GIÁM SÁT KỸ THUẬT GIÀN DI ĐỘNG TRÊN BIỂN</w:t>
      </w:r>
    </w:p>
    <w:p>
      <w:r>
        <w:t>National Technical Regulation on Classification and Technical Supervision of Mobile Offshore Units</w:t>
      </w:r>
    </w:p>
    <w:p>
      <w:r>
        <w:t>Lời nói đầu</w:t>
      </w:r>
    </w:p>
    <w:p>
      <w:r>
        <w:t>QCVN 48:2024/BGTVT do Cục Đăng kiểm Việt Nam biên soạn, Vụ Khoa học - Công nghệ và Môi trường trình duyệt, Bộ Khoa học và Công nghệ thẩm định, Bộ trưởng Bộ Giao thông vận tải ban hành theo Thông tư số 24/2024/TT-BGTVT ngày 28 tháng 06 năm 2024.</w:t>
      </w:r>
    </w:p>
    <w:p>
      <w:r>
        <w:t>Quy chuẩn kỹ thuật quốc gia QCVN 48:2024/BGTVT thay thế QCVN 48:2012/BGTVT của Bộ Giao thông vận tải.</w:t>
      </w:r>
    </w:p>
    <w:p>
      <w:r>
        <w:t>MỤC LỤC</w:t>
      </w:r>
    </w:p>
    <w:p>
      <w:r>
        <w:t>PHẦN I QUY ĐỊNH CHUNG</w:t>
      </w:r>
    </w:p>
    <w:p>
      <w:r>
        <w:t>1  Phạm vi điều chỉnh</w:t>
      </w:r>
    </w:p>
    <w:p>
      <w:r>
        <w:t>2  Đối tượng áp dụng</w:t>
      </w:r>
    </w:p>
    <w:p>
      <w:r>
        <w:t>3  Tài liệu viện dẫn và giải thích từ ngữ</w:t>
      </w:r>
    </w:p>
    <w:p>
      <w:r>
        <w:t>3.1  Tài liệu viện dẫn</w:t>
      </w:r>
    </w:p>
    <w:p>
      <w:r>
        <w:t>3.2  Giải thích từ ngữ</w:t>
      </w:r>
    </w:p>
    <w:p>
      <w:r>
        <w:t>3.3  Chữ viết tắt</w:t>
      </w:r>
    </w:p>
    <w:p>
      <w:r>
        <w:t>PHẦN II  QUY ĐỊNH VỀ KỸ THUẬT</w:t>
      </w:r>
    </w:p>
    <w:p>
      <w:r>
        <w:t>1  Phân cấp và giám sát kỹ thuật</w:t>
      </w:r>
    </w:p>
    <w:p>
      <w:r>
        <w:t>1.1  Quy định chung</w:t>
      </w:r>
    </w:p>
    <w:p>
      <w:r>
        <w:t>1.2  Ký hiệu phân cấp của giàn</w:t>
      </w:r>
    </w:p>
    <w:p>
      <w:r>
        <w:t>1.3  Phân cấp giàn chế tạo mới</w:t>
      </w:r>
    </w:p>
    <w:p>
      <w:r>
        <w:t>1.4  Phân cấp giàn được chế tạo không qua giám sát</w:t>
      </w:r>
    </w:p>
    <w:p>
      <w:r>
        <w:t>1.5  Giám sát kỹ thuật</w:t>
      </w:r>
    </w:p>
    <w:p>
      <w:r>
        <w:t>1.6  Duy trì cấp</w:t>
      </w:r>
    </w:p>
    <w:p>
      <w:r>
        <w:t>1.7  Treo cấp</w:t>
      </w:r>
    </w:p>
    <w:p>
      <w:r>
        <w:t>1.8  Rút cấp</w:t>
      </w:r>
    </w:p>
    <w:p>
      <w:r>
        <w:t>1.9  Phân cấp lại</w:t>
      </w:r>
    </w:p>
    <w:p>
      <w:r>
        <w:t>1.10  Thay đổi ký hiệu phân cấp giàn</w:t>
      </w:r>
    </w:p>
    <w:p>
      <w:r>
        <w:t>2  Kiểm tra trong chế tạo mới</w:t>
      </w:r>
    </w:p>
    <w:p>
      <w:r>
        <w:t>2.1  Sự có mặt của đăng kiểm viên</w:t>
      </w:r>
    </w:p>
    <w:p>
      <w:r>
        <w:t>2.2  Quản lý chất lượng trong chế tạo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