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37:2024/BGTVT về Động cơ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QCVN37:2024/BGTVT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37:2024/BGTVT</w:t>
      </w:r>
    </w:p>
    <w:p>
      <w:r>
        <w:t>QUY CHUẨN   KỸ THUẬT QUỐC GIA VỀ ĐỘNG CƠ XE MÔ TÔ, XE GẮN MÁY</w:t>
      </w:r>
    </w:p>
    <w:p>
      <w:r>
        <w:t>National technical regulation of motorcycles and mopeds engines</w:t>
      </w:r>
    </w:p>
    <w:p>
      <w:r>
        <w:t>Lời nói đầu</w:t>
      </w:r>
    </w:p>
    <w:p>
      <w:r>
        <w:t>QCVN 37:2024/BGTVT    do Cục Đăng kiểm Việt Nam biên soạn, Vụ Khoa học - Công nghệ và Môi trường trình duyệt, Bộ Khoa học và Công nghệ thẩm định, Bộ trưởng Bộ Giao thông vận tải ban hành kèm theo Thông tư số 48/2024/TT- BGTVT ngày 15 tháng 11 năm 2024.</w:t>
      </w:r>
    </w:p>
    <w:p>
      <w:r>
        <w:t>Quy chuẩn QCVN 37:2024/BGTVT thay thế QCVN 37:2010/BGTVT.</w:t>
      </w:r>
    </w:p>
    <w:p>
      <w:r>
        <w:t>QUY CHUẨN KỸ THUẬT QUỐC GIA VỀ ĐỘNG CƠ XE MÔ TÔ, XE GẮN MÁY</w:t>
      </w:r>
    </w:p>
    <w:p>
      <w:r>
        <w:t>National technical regulation of motorcycles and mopeds engines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động cơ xe mô tô, xe gắn máy mới (sau đây gọi tắt là động cơ).</w:t>
      </w:r>
    </w:p>
    <w:p>
      <w:r>
        <w:t>1.2. Đối tượng áp dụng</w:t>
      </w:r>
    </w:p>
    <w:p>
      <w:r>
        <w:t>Quy chuẩn này áp dụng đối với: các cơ sở sản xuất, lắp ráp trong nước, tổ chức, cá nhân nhập khẩu động cơ; các tổ chức, cá nhân liên quan đến quản lý, kiểm tra, thử nghiệm, chứng nhận chất lượng an toàn kỹ thuật và bảo vệ môi trường đối với động cơ.</w:t>
      </w:r>
    </w:p>
    <w:p>
      <w:r>
        <w:t>1.3. Giải thích từ ngữ</w:t>
      </w:r>
    </w:p>
    <w:p>
      <w:r>
        <w:t>1.3.1. Công suất có ích    (Net power): công suất đo được trên băng thử tại đầu trục khủyu hoặc bộ phận tương đương ở tốc độ quay do nhà sản xuất quy định, với động cơ được lắp các cụm chi tiết như nêu tại Phụ lục A.</w:t>
      </w:r>
    </w:p>
    <w:p>
      <w:r>
        <w:t>Trường hợp không thể tách riêng động cơ với hộp số khi đo công suất thì hiệu suất của hộp số phải được đưa vào trong tính toán công suất có ích của động cơ.</w:t>
      </w:r>
    </w:p>
    <w:p>
      <w:r>
        <w:t>1.3.2. Công suất có ích lớn nhất    (Maximum net power): công suất có ích lớn nhất đo được khi động cơ ở chế độ toàn tải.</w:t>
      </w:r>
    </w:p>
    <w:p>
      <w:r>
        <w:t>1.3.3. Mô men xoắn    (Torque): mô men xoắn đo được theo các điều kiện quy định tại 1.3.1.</w:t>
      </w:r>
    </w:p>
    <w:p>
      <w:r>
        <w:t>1.3.4. Mô men xoắn lớn nhất    (Maximum torque): mô men xoắn lớn nhất đo được khi động cơ ở chế độ toàn tải.</w:t>
      </w:r>
    </w:p>
    <w:p>
      <w:r>
        <w:t>1.3.5. Suất tiêu hao nhiên liệu    (specific fuel consumption): Lượng nhiên liệu tiêu thụ cho một đơn vị công suất trong một giờ. Trường hợp động cơ sử dụng hỗn hợp nhiên liệu - dầu bôi trơn thì lượng dầu bôi trơn phải được trừ đi khi tính suất tiêu hao nhiên liệu.</w:t>
      </w:r>
    </w:p>
    <w:p>
      <w:r>
        <w:t>1.3.6. Cụm chi tiết    (Accessories): tất cả các thiết bị nêu tại Phụ lục A.</w:t>
      </w:r>
    </w:p>
    <w:p>
      <w:r>
        <w:t>1.3.7. Thiết bị sản xuất chuẩn    (Standard production equipment): thiết bị do nhà sản xuất cung cấp để sử dụng động cơ vào từng điều kiện cụ thể.</w:t>
      </w:r>
    </w:p>
    <w:p>
      <w:r>
        <w:t>1.3.8. Kiểu loại động cơ    (engine-type): các động cơ được coi là cùng kiểu loại nếu có cùng thiết kế, nhãn hiệu, số loại, nhà sản xuất, địa điểm sản xuất lắp ráp và các đặc tính kỹ thuật như nêu tại Phụ lục D.</w:t>
      </w:r>
    </w:p>
    <w:p>
      <w:r>
        <w:t>2. QUY ĐỊNH VỀ KỸ THUẬT</w:t>
      </w:r>
    </w:p>
    <w:p>
      <w:r>
        <w:t>2.1. Quy định chung</w:t>
      </w:r>
    </w:p>
    <w:p>
      <w:r>
        <w:t>2.1.1.    Kết cấu và thông số kỹ thuật của động cơ phải phù hợp với đăng ký của nhà sản xuất.</w:t>
      </w:r>
    </w:p>
    <w:p>
      <w:r>
        <w:t>2.1.2.    Động cơ phải hoạt động ổn định ở mọi chế độ, không được rò rỉ nhiên liệu, dung dịch làm mát, dầu bôi trơn ở các mối ghép của động cơ.</w:t>
      </w:r>
    </w:p>
    <w:p>
      <w:r>
        <w:t>2.1.3.    Động cơ phải khởi động được dễ dàng bằng các phương pháp do nhà sản xuất đăng ký.</w:t>
      </w:r>
    </w:p>
    <w:p>
      <w:r>
        <w:t>2.2. Quy định riêng đối với động cơ xe gắn máy cháy cưỡng bức</w:t>
      </w:r>
    </w:p>
    <w:p>
      <w:r>
        <w:t>Ngoài việc đáp ứng các quy định tại 2.1 thì động cơ xe gắn máy cháy cưỡng bức còn phải đáp ứng các quy định 2.2.1 và 2.2.2.</w:t>
      </w:r>
    </w:p>
    <w:p>
      <w:r>
        <w:t>2.2.1.    Công suất có ích lớn nhất và mô men xoắn lớn nhất của động cơ do các cơ sở thử nghiệm đo được phải phù hợp với giá trị đăng ký của nhà sản xuất với sai số cho phép theo 2.2.1.1 và 2.2.1.2.</w:t>
      </w:r>
    </w:p>
    <w:p>
      <w:r>
        <w:t>2.2.1.1.    Đối với mẫu kiểm tra chứng nhận kiểu loại thì mô men xoắn lớn nhất và công suất có ích lớn nhất của động cơ do các cơ sở thử nghiệm đo có thể sai khác không lớn hơn 10% so với giá trị đăng ký nếu công suất có ích lớn nhất do nhà sản xuất đăng ký không lớn hơn 1 kW và không lớn hơn 5% so với giá trị đăng ký nếu công suất có ích lớn nhất do nhà sản xuất đăng ký lớn hơn 1 kW với sai số tốc độ quay của trục khủyu động cơ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