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22:2025/BXD về Khai thác đường sắt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QCVN22:2025/BXD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22:2025/BXD</w:t>
      </w:r>
    </w:p>
    <w:p>
      <w:r>
        <w:t>QUY CHUẨN   KỸ THUẬT QUỐC GIA VỀ KHAI THÁC ĐƯỜNG SẮT</w:t>
      </w:r>
    </w:p>
    <w:p>
      <w:r>
        <w:t>National technical regulations on railway operations</w:t>
      </w:r>
    </w:p>
    <w:p>
      <w:r>
        <w:t>Lời nói đầu</w:t>
      </w:r>
    </w:p>
    <w:p>
      <w:r>
        <w:t>QCVN 22: 2025/BXD    do Cục Đường sắt Việt Nam chủ trì biên soạn, Bộ Khoa học và Công nghệ thẩm định và được Bộ Xây dựng ban hành theo Thông tư số 44/2025/TT-BXD ngày 09 tháng 12 năm 2025, thay thế QCVN 08:2018/BGTVT - Quy chuẩn kỹ thuật quốc gia về khai thác đường sắt.</w:t>
      </w:r>
    </w:p>
    <w:p>
      <w:r>
        <w:t>QUY CHUẨN KỸ THUẬT QUỐC GIA VỀ KHAI THÁC ĐƯỜNG SẮT</w:t>
      </w:r>
    </w:p>
    <w:p>
      <w:r>
        <w:t>National technical regulations on railway operations</w:t>
      </w:r>
    </w:p>
    <w:p>
      <w:r>
        <w:t>1. QUY ĐỊNH CHUNG</w:t>
      </w:r>
    </w:p>
    <w:p>
      <w:r>
        <w:t>1.1 Phạm vi điều chỉnh</w:t>
      </w:r>
    </w:p>
    <w:p>
      <w:r>
        <w:t>Quy chuẩn kỹ thuật quốc gia về khai thác đường sắt (sau đây gọi tắt là Quy chuẩn) quy định về mức giới hạn của đặc tính kỹ thuật và yêu cầu quản lý đối với các công trình đường sắt, phương tiện giao thông đường sắt, tổ chức chạy tàu trên đường sắt quốc gia và đường sắt chuyên dùng có kết nối ray vào đường sắt quốc gia đang khai thác, đường sắt khổ 1000mm, đường sắt khổ 1435mm và đường sắt lồng (khổ 1435mm và 1000mm), có tốc độ thiết kế từ 120 km/h trở xuống.</w:t>
      </w:r>
    </w:p>
    <w:p>
      <w:r>
        <w:t>1.2 Đối tượng áp dụng</w:t>
      </w:r>
    </w:p>
    <w:p>
      <w:r>
        <w:t>Quy chuẩn này áp dụng cho tổ chức, cá nhân có các hoạt động liên quan đến mạng đường sắt quốc gia, đường sắt chuyên dùng có kết nối ray vào đường sắt quốc gia.</w:t>
      </w:r>
    </w:p>
    <w:p>
      <w:r>
        <w:t>2. QUY ĐỊNH KỸ THUẬT</w:t>
      </w:r>
    </w:p>
    <w:p>
      <w:r>
        <w:t>2.1 Công trình đường sắt</w:t>
      </w:r>
    </w:p>
    <w:p>
      <w:r>
        <w:t>2.1.1 Quy định chung đối với công trình, hạng mục công trình đường sắt</w:t>
      </w:r>
    </w:p>
    <w:p>
      <w:r>
        <w:t>2.1.1.1 Để duy trì khai thác vận tải đường sắt thường xuyên, đảm bảo an toàn, công trình đường sắt phải bao gồm:</w:t>
      </w:r>
    </w:p>
    <w:p>
      <w:r>
        <w:t>a) Đường, cầu, cống, hầm;</w:t>
      </w:r>
    </w:p>
    <w:p>
      <w:r>
        <w:t>b) Kè, tường chắn;</w:t>
      </w:r>
    </w:p>
    <w:p>
      <w:r>
        <w:t>c) Ga, khu tập kết bảo dưỡng, sửa chữa tàu (đề-pô);</w:t>
      </w:r>
    </w:p>
    <w:p>
      <w:r>
        <w:t>d) Hệ thống thông tin, hệ thống tín hiệu, hệ thống báo hiệu cố định;</w:t>
      </w:r>
    </w:p>
    <w:p>
      <w:r>
        <w:t>đ) Hệ thống cấp điện sức kéo đường sắt;</w:t>
      </w:r>
    </w:p>
    <w:p>
      <w:r>
        <w:t>e) Công trình, thiết bị phụ trợ khác của đường sắt.</w:t>
      </w:r>
    </w:p>
    <w:p>
      <w:r>
        <w:t>2.1.1.2    Công trình đường sắt phải được kiểm tra thường xuyên, định kỳ và phải có hồ sơ trạng thái kỹ thuật công trình để theo dõi diễn biến trong quá trình sử dụng. Nội dung, chế độ kiểm tra, báo cáo và hồ sơ trạng thái kỹ thuật công trình phải được thực hiện theo quy định về quản lý, khai thác kết cấu hạ tầng đường sắt.</w:t>
      </w:r>
    </w:p>
    <w:p>
      <w:r>
        <w:t>2.1.1.3    Khổ giới hạn tiếp giáp kiến trúc đường sắt là khoảng không gian giới hạn dọc theo đường sắt đủ để tàu chạy qua không bị va quệt. Bất cứ bộ phận nào của công trình và thiết bị cố định hay di động (trừ các thiết bị quy định tại mục 2.1.1.4) đều không được phạm vào khổ giới hạn tiếp giáp kiến trúc quy định trong Phụ lục A và Phụ lục C ban hành kèm theo Quy chuẩn này để đảm bảo an toàn chạy tàu, an toàn công trình.</w:t>
      </w:r>
    </w:p>
    <w:p>
      <w:r>
        <w:t>2.1.1.4    Những thiết bị có liên quan trực tiếp với đầu máy, toa xe như cột giao nhận thẻ đường đang hoạt động được phạm vào khổ giới hạn tiếp giáp kiến trúc nhưng không được phạm vào khổ giới hạn đầu máy, toa xe.</w:t>
      </w:r>
    </w:p>
    <w:p>
      <w:r>
        <w:t>2.1.2 Quy định cụ thể đối với công trình, hạng mục công trình đường sắt</w:t>
      </w:r>
    </w:p>
    <w:p>
      <w:r>
        <w:t>2.1.2.1 Đường sắt</w:t>
      </w:r>
    </w:p>
    <w:p>
      <w:r>
        <w:t>2.1.2.1.1 Mặt cắt dọc</w:t>
      </w:r>
    </w:p>
    <w:p>
      <w:r>
        <w:t>2.1.2.1.1.1 Mặt cắt dọc của tuyến đường sắt</w:t>
      </w:r>
    </w:p>
    <w:p>
      <w:r>
        <w:t>a) Độ dốc đỉnh ray của tuyến đường sắt không được vượt quá độ dốc hạn chế của tuyến (trừ trường hợp nêu tại điểm b mục này) và đáp ứng tiêu chuẩn kỹ thuật áp dụng cho tuyến đường.</w:t>
      </w:r>
    </w:p>
    <w:p>
      <w:r>
        <w:t>b) Khi khối lượng vận tải của tuyến đường theo từng luồng hàng không cân bằng hoặc ở những nơi có bố trí nhiều đầu máy kéo trong một đoàn tàu thì được phép sử dụng độ dốc lớn hơn dốc hạn chế nhưng phải có biện pháp đảm bảo an toàn trong quá trình chạy tàu.</w:t>
      </w:r>
    </w:p>
    <w:p>
      <w:r>
        <w:t>c) Đối với các tuyến đường đang khai thác không thỏa mãn các yêu cầu tại điểm b mục này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