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15:2023/BQP về Đặc tính kỹ thuật mật mã sử dụng trong các sản phẩm mật mã dân sự thuộc nhóm sản phẩm bảo mật dữ liệu lưu giữ</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QCVN15:2023/BQP</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29/11/2023</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QCVN 15:2023/BQP</w:t>
      </w:r>
    </w:p>
    <w:p>
      <w:r>
        <w:t>QUY CHUẨN   KỸ THUẬT QUỐC GIA VỀ ĐẶC TÍNH KỸ THUẬT MẬT MÃ SỬ DỤNG TRONG CÁC SẢN PHẨM MẬT MÃ DÂN SỰ THUỘC NHÓM SẢN PHẨM BẢO MẬT DỮ LIỆU LƯU GIỮ</w:t>
      </w:r>
    </w:p>
    <w:p>
      <w:r>
        <w:t>National technical regulation on security of cryptographic used in civil cryptography products belong to data storage security product group</w:t>
      </w:r>
    </w:p>
    <w:p>
      <w:r>
        <w:t>MỤC LỤC</w:t>
      </w:r>
    </w:p>
    <w:p>
      <w:r>
        <w:t>Lời nói đầu</w:t>
      </w:r>
    </w:p>
    <w:p>
      <w:r>
        <w:t>1  QUY ĐỊNH CHUNG</w:t>
      </w:r>
    </w:p>
    <w:p>
      <w:r>
        <w:t>1.1  Phạm vi điều chỉnh</w:t>
      </w:r>
    </w:p>
    <w:p>
      <w:r>
        <w:t>1.2  Đối tượng áp dụng</w:t>
      </w:r>
    </w:p>
    <w:p>
      <w:r>
        <w:t>1.3  Tài liệu viện dẫn</w:t>
      </w:r>
    </w:p>
    <w:p>
      <w:r>
        <w:t>1.4  Giải thích từ ngữ</w:t>
      </w:r>
    </w:p>
    <w:p>
      <w:r>
        <w:t>1.5  Chữ viết tắt</w:t>
      </w:r>
    </w:p>
    <w:p>
      <w:r>
        <w:t>1.6  Ký hiệu</w:t>
      </w:r>
    </w:p>
    <w:p>
      <w:r>
        <w:t>2  QUY ĐỊNH KĨ THUẬT</w:t>
      </w:r>
    </w:p>
    <w:p>
      <w:r>
        <w:t>2.1  Quy định về thuật toán mật mã</w:t>
      </w:r>
    </w:p>
    <w:p>
      <w:r>
        <w:t>2.1.1  Thuật toán mã hóa đối xứng</w:t>
      </w:r>
    </w:p>
    <w:p>
      <w:r>
        <w:t>2.1.2  Thuật toán mật mã phi đối xứng</w:t>
      </w:r>
    </w:p>
    <w:p>
      <w:r>
        <w:t>2.1.3  Thuật toán băm</w:t>
      </w:r>
    </w:p>
    <w:p>
      <w:r>
        <w:t>2.1.4  Thuật toán xác thực thông điệp</w:t>
      </w:r>
    </w:p>
    <w:p>
      <w:r>
        <w:t>2.1.5  Hàm dẫn xuất khóa</w:t>
      </w:r>
    </w:p>
    <w:p>
      <w:r>
        <w:t>2.1.6  Bộ tạo số ngẫu nhiên</w:t>
      </w:r>
    </w:p>
    <w:p>
      <w:r>
        <w:t>2.2  Quy định về thời gian sử dụng</w:t>
      </w:r>
    </w:p>
    <w:p>
      <w:r>
        <w:t>2.2.1  Thuật toán mã hóa đối xứng</w:t>
      </w:r>
    </w:p>
    <w:p>
      <w:r>
        <w:t>2.2.2  Thuật toán mật mã phi đối xứng</w:t>
      </w:r>
    </w:p>
    <w:p>
      <w:r>
        <w:t>2.2.3  Thuật toán băm</w:t>
      </w:r>
    </w:p>
    <w:p>
      <w:r>
        <w:t>2.2.4  Thuật toán xác thực thông điệp</w:t>
      </w:r>
    </w:p>
    <w:p>
      <w:r>
        <w:t>2.2.5  Hàm dẫn xuất khóa</w:t>
      </w:r>
    </w:p>
    <w:p>
      <w:r>
        <w:t>2.2.6  Bộ tạo số ngẫu nhiên</w:t>
      </w:r>
    </w:p>
    <w:p>
      <w:r>
        <w:t>2.3  Quy định về an toàn trong sử dụng</w:t>
      </w:r>
    </w:p>
    <w:p>
      <w:r>
        <w:t>3  QUY ĐỊNH VỀ QUẢN LÝ</w:t>
      </w:r>
    </w:p>
    <w:p>
      <w:r>
        <w:t>4  TRÁCH NHIỆM CỦA TỔ CHỨC, CÁ NHÂN</w:t>
      </w:r>
    </w:p>
    <w:p>
      <w:r>
        <w:t>5  TỔ CHỨC THỰC HIỆN</w:t>
      </w:r>
    </w:p>
    <w:p>
      <w:r>
        <w:t>PHỤ LỤC</w:t>
      </w:r>
    </w:p>
    <w:p>
      <w:r>
        <w:t>TÀI LIỆU THAM KHẢO</w:t>
      </w:r>
    </w:p>
    <w:p>
      <w:r>
        <w:t>Lời nói đầu</w:t>
      </w:r>
    </w:p>
    <w:p>
      <w:r>
        <w:t>QCVN 15:2023/BQP do Cục Quản lý mật mã dân sự và Kiểm định sản phẩm mật mã - Ban Cơ yếu Chính phủ biên soạn, Ban Cơ yếu Chính phủ trình duyệt, Bộ Khoa học và Công nghệ thẩm định, Bộ trưởng Bộ Quốc phòng ban hành theo kèm Thông tư số …../2023/TT-BQP ngày ... tháng ....năm 2023.</w:t>
      </w:r>
    </w:p>
    <w:p>
      <w:r>
        <w:t>QUY CHUẨN KỸ THUẬT QUỐC GIA VỀ ĐẶC TÍNH KỸ THUẬT MẬT MÃ SỬ DỤNG TRONG CÁC SẢN PHẨM MẬT MÃ DÂN SỰ THUỘC NHÓM SẢN PHẨM BẢO MẬT DỮ LIỆU LƯU GIỮ</w:t>
      </w:r>
    </w:p>
    <w:p>
      <w:r>
        <w:t>National technical regulation on security of cryptographic used in civil cryptography products belong to data storage security product group</w:t>
      </w:r>
    </w:p>
    <w:p>
      <w:r>
        <w:t>1  QUY ĐỊNH CHUNG</w:t>
      </w:r>
    </w:p>
    <w:p>
      <w:r>
        <w:t>1.1  Phạm vi điều chỉnh</w:t>
      </w:r>
    </w:p>
    <w:p>
      <w:r>
        <w:t>Quy chuẩn này quy định mức giới hạn các đặc tính kỹ thuật mật mã của các sản phẩm bảo mật dữ liệu lưu giữ phục vụ bảo vệ thông tin không thuộc phạm vi bí mật nhà nước.</w:t>
      </w:r>
    </w:p>
    <w:p>
      <w:r>
        <w:t>1.2  Đối tượng áp dụng</w:t>
      </w:r>
    </w:p>
    <w:p>
      <w:r>
        <w:t>Quy chuẩn này áp dụng đối với các tổ chức, cá nhân sản xuất, kinh doanh và sử dụng sản phẩm mật mã dân sự để bảo vệ thông tin không thuộc phạm vi bí mật nhà nước.</w:t>
      </w:r>
    </w:p>
    <w:p>
      <w:r>
        <w:t>1.3  Tài liệu viện dẫn</w:t>
      </w:r>
    </w:p>
    <w:p>
      <w:r>
        <w:t>QCVN 12:2022/BQP  “Quy chuẩn kỹ thuật quốc gia về đặc tính kỹ thuật mật mã sử dụng trong các sản phẩm mật mã dân sự thuộc nhóm sản phẩm bảo mật luồng IP sử dụng công nghệ IPsec và TLS”.</w:t>
      </w:r>
    </w:p>
    <w:p>
      <w:r>
        <w:t>TCVN 11367-3:2016 (ISO/IEC 18033-3:2010)  “Công nghệ thông tin - Các kỹ thuật an toàn - Thuật toán mật mã - Phần 3: Mã khối”.</w:t>
      </w:r>
    </w:p>
    <w:p>
      <w:r>
        <w:t>TCVN 12213:2018 (ISO/IEC 10116:2017)  “Công nghệ thông tin - Các kỹ thuật an toàn - Chế độ hoạt động của mã khối n-bit”.</w:t>
      </w:r>
    </w:p>
    <w:p>
      <w:r>
        <w:t>TCVN 12853:2020 (ISO/IEC 18031:2011 With amendment 1:2017)  “Công nghệ thông tin - Các kỹ thuật an toàn - Bộ tạo bit ngẫu nhiên”.</w:t>
      </w:r>
    </w:p>
    <w:p>
      <w:r>
        <w:t>TCVN 11816 (ISO/IEC 10118)  “Công nghệ thông tin - Các kỹ thuật an toàn - Hàm băm - Phần 3: Hàm băm chuyên dụng”.</w:t>
      </w:r>
    </w:p>
    <w:p>
      <w:r>
        <w:t>TCVN 11495-1:2016 (ISO/IEC 9797-1:2011)  “Công nghệ thông tin - Các kỹ thuật an toàn - Mã xác nhận thông điệp”.</w:t>
      </w:r>
    </w:p>
    <w:p>
      <w:r>
        <w:t>ISO/IEC 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