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136:2025/BKHCN về Thiết bị truy nhập vô tuyến băng tần 6 GHz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QCVN136:2025/BKHCN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01/01/2027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136:2025/BKHCN</w:t>
      </w:r>
    </w:p>
    <w:p>
      <w:r>
        <w:t>QUY CHUẨN   KỸ THUẬT QUỐC GIA VỀ THIẾT BỊ TRUY NHẬP VÔ TUYẾN BĂNG TẦN 6 GHZ</w:t>
      </w:r>
    </w:p>
    <w:p>
      <w:r>
        <w:t>National technical regulation on radio access equipment operating in the 6 GHz band</w:t>
      </w:r>
    </w:p>
    <w:p>
      <w:r>
        <w:t>3.1.1. Giới thiệu</w:t>
      </w:r>
    </w:p>
    <w:p>
      <w:r>
        <w:t>3.1.2. Điều kiện đo thông thường</w:t>
      </w:r>
    </w:p>
    <w:p>
      <w:r>
        <w:t>3.1.3. Điều kiện đo tới hạn</w:t>
      </w:r>
    </w:p>
    <w:p>
      <w:r>
        <w:t>3.2. Kết quả đo</w:t>
      </w:r>
    </w:p>
    <w:p>
      <w:r>
        <w:t>3.3. Các điều kiện đo khác</w:t>
      </w:r>
    </w:p>
    <w:p>
      <w:r>
        <w:t>3.3.1. Chuỗi đo</w:t>
      </w:r>
    </w:p>
    <w:p>
      <w:r>
        <w:t>3.3.2. Kênh đo</w:t>
      </w:r>
    </w:p>
    <w:p>
      <w:r>
        <w:t>3.3.3. Ăng ten</w:t>
      </w:r>
    </w:p>
    <w:p>
      <w:r>
        <w:t>3.3.4. Thiết bị</w:t>
      </w:r>
    </w:p>
    <w:p>
      <w:r>
        <w:t>3.3.5. Phép đo dẫn, phép đo bức xạ</w:t>
      </w:r>
    </w:p>
    <w:p>
      <w:r>
        <w:t>3.4. Các phép đo</w:t>
      </w:r>
    </w:p>
    <w:p>
      <w:r>
        <w:t>3.4.1. Khai báo thiết bị</w:t>
      </w:r>
    </w:p>
    <w:p>
      <w:r>
        <w:t>3.4.2. Tần số trung tâm danh định</w:t>
      </w:r>
    </w:p>
    <w:p>
      <w:r>
        <w:t>3.4.3. Công suất đầu ra RF</w:t>
      </w:r>
    </w:p>
    <w:p>
      <w:r>
        <w:t>3.4.4. Mật độ phổ công suất</w:t>
      </w:r>
    </w:p>
    <w:p>
      <w:r>
        <w:t>3.4.5. Phát xạ không mong muốn của máy phát ngoài băng WAS/RLAN 6 GHz</w:t>
      </w:r>
    </w:p>
    <w:p>
      <w:r>
        <w:t>3.4.6. Phát xạ không mong muốn của bộ phát trong băng WAS/RLAN 6 GHz</w:t>
      </w:r>
    </w:p>
    <w:p>
      <w:r>
        <w:t>3.4.7. Phát xạ giả máy thu</w:t>
      </w:r>
    </w:p>
    <w:p>
      <w:r>
        <w:t>3.4.8. Cơ chế truy nhập kênh</w:t>
      </w:r>
    </w:p>
    <w:p>
      <w:r>
        <w:t>3.4.9. Đặc tính chặn máy thu</w:t>
      </w:r>
    </w:p>
    <w:p>
      <w:r>
        <w:t>3.4.10. Độ chọn lọc máy thu</w:t>
      </w:r>
    </w:p>
    <w:p>
      <w:r>
        <w:t>3.4.11. Thiết kế cơ khí và điện</w:t>
      </w:r>
    </w:p>
    <w:p>
      <w:r>
        <w:t>3.4.12. Hoạt động VLP NB với một PSD trên 1 dBm/MHz</w:t>
      </w:r>
    </w:p>
    <w:p>
      <w:r>
        <w:t>3.4.13. Thủ tục đánh giá UAR</w:t>
      </w:r>
    </w:p>
    <w:p>
      <w:r>
        <w:t>4.     QUY ĐỊNH VỀ QUẢN LÝ</w:t>
      </w:r>
    </w:p>
    <w:p>
      <w:r>
        <w:t>5.     TRÁCH NHIỆM CỦA TỔ CHỨC, CÁ NHÂN</w:t>
      </w:r>
    </w:p>
    <w:p>
      <w:r>
        <w:t>6.     TỔ CHỨC THỰC HIỆN</w:t>
      </w:r>
    </w:p>
    <w:p>
      <w:r>
        <w:t>Phụ lục A (Quy định) Mã HS thiết bị truy nhập vô tuyến băng tần 6 GHz</w:t>
      </w:r>
    </w:p>
    <w:p>
      <w:r>
        <w:t>Phụ lục B (Quy định) Hệ thống đo và cách bố trí đo bức xạ  &lt;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