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Pr>
          <w:sz w:val="2"/>
        </w:rPr>
      </w:pPr>
      <w:r>
        <w:rPr>
          <w:sz w:val="2"/>
        </w:rPr>
      </w:r>
      <w:r>
        <w:rPr>
          <w:sz w:val="2"/>
        </w:rPr>
      </w:r>
      <w:r>
        <w:rPr>
          <w:sz w:val="2"/>
        </w:rPr>
      </w:r>
    </w:p>
    <w:p>
      <w:pPr>
        <w:pStyle w:val="932"/>
        <w:widowControl w:val="false"/>
        <w:pBdr/>
        <w:spacing/>
        <w:ind/>
        <w:rPr>
          <w:rFonts w:ascii="Times New Roman" w:hAnsi="Times New Roman"/>
          <w:sz w:val="2"/>
          <w:szCs w:val="28"/>
        </w:rPr>
      </w:pPr>
      <w:r>
        <w:rPr>
          <w:rFonts w:ascii="Times New Roman" w:hAnsi="Times New Roman"/>
          <w:sz w:val="2"/>
          <w:szCs w:val="28"/>
        </w:rPr>
      </w:r>
      <w:r>
        <w:rPr>
          <w:rFonts w:ascii="Times New Roman" w:hAnsi="Times New Roman"/>
          <w:sz w:val="2"/>
          <w:szCs w:val="28"/>
        </w:rPr>
      </w:r>
      <w:r>
        <w:rPr>
          <w:rFonts w:ascii="Times New Roman" w:hAnsi="Times New Roman"/>
          <w:sz w:val="2"/>
          <w:szCs w:val="28"/>
        </w:rPr>
      </w:r>
    </w:p>
    <w:p>
      <w:pPr>
        <w:pStyle w:val="932"/>
        <w:widowControl w:val="false"/>
        <w:pBdr/>
        <w:spacing/>
        <w:ind/>
        <w:jc w:val="center"/>
        <w:rPr>
          <w:rFonts w:ascii="Times New Roman" w:hAnsi="Times New Roman"/>
          <w:sz w:val="6"/>
          <w:szCs w:val="28"/>
        </w:rPr>
      </w:pPr>
      <w:r>
        <w:rPr>
          <w:rFonts w:ascii="Times New Roman" w:hAnsi="Times New Roman"/>
          <w:sz w:val="6"/>
          <w:szCs w:val="28"/>
        </w:rPr>
      </w:r>
      <w:r>
        <w:rPr>
          <w:rFonts w:ascii="Times New Roman" w:hAnsi="Times New Roman"/>
          <w:sz w:val="6"/>
          <w:szCs w:val="28"/>
        </w:rPr>
      </w:r>
      <w:r>
        <w:rPr>
          <w:rFonts w:ascii="Times New Roman" w:hAnsi="Times New Roman"/>
          <w:sz w:val="6"/>
          <w:szCs w:val="28"/>
        </w:rPr>
      </w:r>
    </w:p>
    <w:tbl>
      <w:tblPr>
        <w:tblW w:w="10261" w:type="dxa"/>
        <w:tblBorders>
          <w:top w:val="none" w:color="000000" w:sz="4" w:space="0"/>
          <w:bottom w:val="none" w:color="000000" w:sz="4" w:space="0"/>
          <w:insideH w:val="none" w:color="000000" w:sz="4" w:space="0"/>
          <w:insideV w:val="none" w:color="000000" w:sz="4" w:space="0"/>
        </w:tblBorders>
        <w:tblCellMar>
          <w:left w:w="0" w:type="dxa"/>
          <w:right w:w="0" w:type="dxa"/>
        </w:tblCellMar>
        <w:tblLook w:val="04A0" w:firstRow="1" w:lastRow="0" w:firstColumn="1" w:lastColumn="0" w:noHBand="0" w:noVBand="1"/>
      </w:tblPr>
      <w:tblGrid>
        <w:gridCol w:w="3185"/>
        <w:gridCol w:w="343"/>
        <w:gridCol w:w="6390"/>
        <w:gridCol w:w="343"/>
      </w:tblGrid>
      <w:tr>
        <w:trPr>
          <w:trHeight w:val="708"/>
        </w:trPr>
        <w:tc>
          <w:tcPr>
            <w:gridSpan w:val="2"/>
            <w:shd w:val="clear" w:color="auto" w:fill="auto"/>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528" w:type="dxa"/>
            <w:textDirection w:val="lrTb"/>
            <w:noWrap w:val="false"/>
          </w:tcPr>
          <w:p>
            <w:pPr>
              <w:pBdr/>
              <w:spacing/>
              <w:ind/>
              <w:jc w:val="center"/>
              <w:rPr>
                <w:b/>
                <w:sz w:val="26"/>
                <w:szCs w:val="26"/>
              </w:rPr>
            </w:pPr>
            <w:r>
              <w:rPr>
                <w:b/>
                <w:sz w:val="26"/>
                <w:szCs w:val="26"/>
              </w:rPr>
              <w:t xml:space="preserve">HỘI ĐỒNG NHÂN DÂN</w:t>
            </w:r>
            <w:r>
              <w:rPr>
                <w:b/>
                <w:sz w:val="26"/>
                <w:szCs w:val="26"/>
              </w:rPr>
            </w:r>
            <w:r>
              <w:rPr>
                <w:b/>
                <w:sz w:val="26"/>
                <w:szCs w:val="26"/>
              </w:rPr>
            </w:r>
          </w:p>
          <w:p>
            <w:pPr>
              <w:pBdr/>
              <w:spacing/>
              <w:ind/>
              <w:jc w:val="center"/>
              <w:rPr>
                <w:b/>
                <w:sz w:val="28"/>
                <w:szCs w:val="28"/>
              </w:rPr>
            </w:pPr>
            <w:r>
              <w:rPr>
                <w:b/>
                <w:sz w:val="26"/>
                <w:szCs w:val="26"/>
              </w:rPr>
              <mc:AlternateContent>
                <mc:Choice Requires="wpg">
                  <w:drawing>
                    <wp:anchor xmlns:wp="http://schemas.openxmlformats.org/drawingml/2006/wordprocessingDrawing" xmlns:wp14="http://schemas.microsoft.com/office/word/2010/wordprocessingDrawing" distT="0" distB="0" distL="114300" distR="114300" simplePos="0" relativeHeight="251667968" behindDoc="0" locked="0" layoutInCell="1" allowOverlap="1">
                      <wp:simplePos x="0" y="0"/>
                      <wp:positionH relativeFrom="column">
                        <wp:posOffset>736600</wp:posOffset>
                      </wp:positionH>
                      <wp:positionV relativeFrom="paragraph">
                        <wp:posOffset>246017</wp:posOffset>
                      </wp:positionV>
                      <wp:extent cx="596174" cy="634"/>
                      <wp:effectExtent l="0" t="0" r="33020" b="19050"/>
                      <wp:wrapNone/>
                      <wp:docPr id="1" name="Straight Arrow Connector 3"/>
                      <wp:cNvGraphicFramePr/>
                      <a:graphic xmlns:a="http://schemas.openxmlformats.org/drawingml/2006/main">
                        <a:graphicData uri="http://schemas.microsoft.com/office/word/2010/wordprocessingShape">
                          <wps:wsp>
                            <wps:cNvPr id="0" name=""/>
                            <wps:cNvSpPr/>
                            <wps:spPr bwMode="auto">
                              <a:xfrm flipV="1">
                                <a:off x="0" y="0"/>
                                <a:ext cx="596174" cy="634"/>
                              </a:xfrm>
                              <a:prstGeom prst="straightConnector1">
                                <a:avLst/>
                              </a:pr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shape 0" o:spid="_x0000_s0" o:spt="32" type="#_x0000_t32" style="position:absolute;z-index:251667968;o:allowoverlap:true;o:allowincell:true;mso-position-horizontal-relative:text;margin-left:58.00pt;mso-position-horizontal:absolute;mso-position-vertical-relative:text;margin-top:19.37pt;mso-position-vertical:absolute;width:46.94pt;height:0.05pt;mso-wrap-distance-left:9.00pt;mso-wrap-distance-top:0.00pt;mso-wrap-distance-right:9.00pt;mso-wrap-distance-bottom:0.00pt;flip:y;visibility:visible;" filled="f" strokecolor="#000000" strokeweight="0.75pt"/>
                  </w:pict>
                </mc:Fallback>
              </mc:AlternateContent>
            </w:r>
            <w:r>
              <w:rPr>
                <w:b/>
                <w:sz w:val="26"/>
                <w:szCs w:val="26"/>
              </w:rPr>
              <w:t xml:space="preserve">TỈNH TÂY NINH</w:t>
            </w:r>
            <w:r>
              <w:rPr>
                <w:b/>
                <w:szCs w:val="28"/>
              </w:rPr>
              <w:t xml:space="preserve"> </w:t>
            </w:r>
            <w:r>
              <w:rPr>
                <w:b/>
                <w:sz w:val="28"/>
                <w:szCs w:val="28"/>
              </w:rPr>
            </w:r>
            <w:r>
              <w:rPr>
                <w:b/>
                <w:sz w:val="28"/>
                <w:szCs w:val="28"/>
              </w:rPr>
            </w:r>
          </w:p>
        </w:tc>
        <w:tc>
          <w:tcPr>
            <w:gridSpan w:val="2"/>
            <w:shd w:val="clear" w:color="auto" w:fill="auto"/>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6733" w:type="dxa"/>
            <w:textDirection w:val="lrTb"/>
            <w:noWrap w:val="false"/>
          </w:tcPr>
          <w:p>
            <w:pPr>
              <w:pBdr/>
              <w:spacing/>
              <w:ind w:hanging="425" w:left="16"/>
              <w:jc w:val="center"/>
              <w:rPr>
                <w:b/>
                <w:sz w:val="26"/>
                <w:szCs w:val="26"/>
              </w:rPr>
            </w:pPr>
            <w:r>
              <w:rPr>
                <w:b/>
                <w:sz w:val="26"/>
                <w:szCs w:val="26"/>
              </w:rPr>
              <w:t xml:space="preserve">CỘNG HÒA XÃ HỘI CHỦ NGHĨA VIỆT NAM</w:t>
            </w:r>
            <w:r>
              <w:rPr>
                <w:b/>
                <w:sz w:val="26"/>
                <w:szCs w:val="26"/>
              </w:rPr>
            </w:r>
            <w:r>
              <w:rPr>
                <w:b/>
                <w:sz w:val="26"/>
                <w:szCs w:val="26"/>
              </w:rPr>
            </w:r>
          </w:p>
          <w:p>
            <w:pPr>
              <w:pBdr/>
              <w:spacing/>
              <w:ind w:left="16"/>
              <w:jc w:val="center"/>
              <w:rPr>
                <w:b/>
                <w:sz w:val="28"/>
                <w:szCs w:val="28"/>
              </w:rPr>
            </w:pPr>
            <w:r>
              <w:rPr>
                <w:b/>
                <w:sz w:val="28"/>
                <w:szCs w:val="28"/>
              </w:rPr>
              <w:t xml:space="preserve">Độc lập - Tự do - Hạnh phúc</w:t>
            </w:r>
            <w:r>
              <w:rPr>
                <w:b/>
                <w:sz w:val="28"/>
                <w:szCs w:val="28"/>
              </w:rPr>
            </w:r>
            <w:r>
              <w:rPr>
                <w:b/>
                <w:sz w:val="28"/>
                <w:szCs w:val="28"/>
              </w:rPr>
            </w:r>
          </w:p>
        </w:tc>
      </w:tr>
      <w:tr>
        <w:trPr>
          <w:gridAfter w:val="1"/>
        </w:trPr>
        <w:tc>
          <w:tcPr>
            <w:shd w:val="clear" w:color="auto" w:fill="auto"/>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185" w:type="dxa"/>
            <w:textDirection w:val="lrTb"/>
            <w:noWrap w:val="false"/>
          </w:tcPr>
          <w:p>
            <w:pPr>
              <w:pBdr/>
              <w:spacing w:before="120"/>
              <w:ind/>
              <w:jc w:val="center"/>
              <w:rPr>
                <w:sz w:val="28"/>
                <w:szCs w:val="28"/>
              </w:rPr>
            </w:pPr>
            <w:r>
              <w:rPr>
                <w:sz w:val="28"/>
                <w:szCs w:val="28"/>
              </w:rPr>
              <w:t xml:space="preserve">Số:   </w:t>
            </w:r>
            <w:r>
              <w:rPr>
                <w:sz w:val="28"/>
                <w:szCs w:val="28"/>
              </w:rPr>
              <w:t xml:space="preserve">56</w:t>
            </w:r>
            <w:r>
              <w:rPr>
                <w:sz w:val="28"/>
                <w:szCs w:val="28"/>
              </w:rPr>
              <w:t xml:space="preserve"> /</w:t>
            </w:r>
            <w:r>
              <w:rPr>
                <w:sz w:val="28"/>
                <w:szCs w:val="28"/>
              </w:rPr>
              <w:t xml:space="preserve">2026</w:t>
            </w:r>
            <w:r>
              <w:rPr>
                <w:sz w:val="28"/>
                <w:szCs w:val="28"/>
              </w:rPr>
              <w:t xml:space="preserve">/NQ-HĐND</w:t>
            </w:r>
            <w:r>
              <w:rPr>
                <w:sz w:val="28"/>
                <w:szCs w:val="28"/>
              </w:rPr>
            </w:r>
            <w:r>
              <w:rPr>
                <w:sz w:val="28"/>
                <w:szCs w:val="28"/>
              </w:rPr>
            </w:r>
          </w:p>
        </w:tc>
        <w:tc>
          <w:tcPr>
            <w:gridSpan w:val="2"/>
            <w:shd w:val="clear" w:color="auto" w:fill="auto"/>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6733" w:type="dxa"/>
            <w:textDirection w:val="lrTb"/>
            <w:noWrap w:val="false"/>
          </w:tcPr>
          <w:p>
            <w:pPr>
              <w:pBdr/>
              <w:spacing w:before="120"/>
              <w:ind/>
              <w:jc w:val="center"/>
              <w:rPr>
                <w:sz w:val="28"/>
                <w:szCs w:val="28"/>
                <w:lang w:val="vi-VN"/>
              </w:rPr>
            </w:pPr>
            <w:r>
              <w:rPr>
                <w:b/>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68992" behindDoc="0" locked="0" layoutInCell="1" allowOverlap="1">
                      <wp:simplePos x="0" y="0"/>
                      <wp:positionH relativeFrom="column">
                        <wp:posOffset>1177018</wp:posOffset>
                      </wp:positionH>
                      <wp:positionV relativeFrom="paragraph">
                        <wp:posOffset>8890</wp:posOffset>
                      </wp:positionV>
                      <wp:extent cx="2174966" cy="10886"/>
                      <wp:effectExtent l="0" t="0" r="34925" b="27305"/>
                      <wp:wrapNone/>
                      <wp:docPr id="2" name="Straight Arrow Connector 2"/>
                      <wp:cNvGraphicFramePr/>
                      <a:graphic xmlns:a="http://schemas.openxmlformats.org/drawingml/2006/main">
                        <a:graphicData uri="http://schemas.microsoft.com/office/word/2010/wordprocessingShape">
                          <wps:wsp>
                            <wps:cNvPr id="0" name=""/>
                            <wps:cNvSpPr/>
                            <wps:spPr bwMode="auto">
                              <a:xfrm>
                                <a:off x="0" y="0"/>
                                <a:ext cx="2174966" cy="10886"/>
                              </a:xfrm>
                              <a:prstGeom prst="straightConnector1">
                                <a:avLst/>
                              </a:pr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shape 1" o:spid="_x0000_s1" o:spt="32" type="#_x0000_t32" style="position:absolute;z-index:251668992;o:allowoverlap:true;o:allowincell:true;mso-position-horizontal-relative:text;margin-left:92.68pt;mso-position-horizontal:absolute;mso-position-vertical-relative:text;margin-top:0.70pt;mso-position-vertical:absolute;width:171.26pt;height:0.86pt;mso-wrap-distance-left:9.00pt;mso-wrap-distance-top:0.00pt;mso-wrap-distance-right:9.00pt;mso-wrap-distance-bottom:0.00pt;visibility:visible;" filled="f" strokecolor="#000000" strokeweight="0.75pt"/>
                  </w:pict>
                </mc:Fallback>
              </mc:AlternateContent>
            </w:r>
            <w:r>
              <w:rPr>
                <w:i/>
                <w:iCs/>
                <w:sz w:val="28"/>
                <w:szCs w:val="28"/>
              </w:rPr>
              <w:t xml:space="preserve">        </w:t>
            </w:r>
            <w:r>
              <w:rPr>
                <w:i/>
                <w:iCs/>
                <w:sz w:val="28"/>
                <w:szCs w:val="28"/>
              </w:rPr>
              <w:t xml:space="preserve">Tây Ninh, ngày </w:t>
            </w:r>
            <w:r>
              <w:rPr>
                <w:i/>
                <w:iCs/>
                <w:sz w:val="28"/>
                <w:szCs w:val="28"/>
              </w:rPr>
              <w:t xml:space="preserve">17</w:t>
            </w:r>
            <w:r>
              <w:rPr>
                <w:i/>
                <w:iCs/>
                <w:sz w:val="28"/>
                <w:szCs w:val="28"/>
              </w:rPr>
              <w:t xml:space="preserve"> tháng </w:t>
            </w:r>
            <w:r>
              <w:rPr>
                <w:i/>
                <w:iCs/>
                <w:sz w:val="28"/>
                <w:szCs w:val="28"/>
              </w:rPr>
              <w:t xml:space="preserve">7</w:t>
            </w:r>
            <w:r>
              <w:rPr>
                <w:i/>
                <w:iCs/>
                <w:sz w:val="28"/>
                <w:szCs w:val="28"/>
              </w:rPr>
              <w:t xml:space="preserve"> năm </w:t>
            </w:r>
            <w:r>
              <w:rPr>
                <w:i/>
                <w:iCs/>
                <w:sz w:val="28"/>
                <w:szCs w:val="28"/>
              </w:rPr>
              <w:t xml:space="preserve">2026</w:t>
            </w:r>
            <w:r>
              <w:rPr>
                <w:sz w:val="28"/>
                <w:szCs w:val="28"/>
                <w:lang w:val="vi-VN"/>
              </w:rPr>
            </w:r>
            <w:r>
              <w:rPr>
                <w:sz w:val="28"/>
                <w:szCs w:val="28"/>
                <w:lang w:val="vi-VN"/>
              </w:rPr>
            </w:r>
          </w:p>
        </w:tc>
      </w:tr>
    </w:tbl>
    <w:p>
      <w:pPr>
        <w:pBdr/>
        <w:tabs>
          <w:tab w:val="left" w:leader="none" w:pos="670"/>
          <w:tab w:val="left" w:leader="none" w:pos="1570"/>
          <w:tab w:val="center" w:leader="none" w:pos="4677"/>
        </w:tabs>
        <w:spacing/>
        <w:ind/>
        <w:rPr>
          <w:b/>
          <w:sz w:val="28"/>
          <w:szCs w:val="28"/>
          <w:lang w:val="vi-VN"/>
        </w:rPr>
      </w:pPr>
      <w:r>
        <w:rPr>
          <w:b/>
          <w:sz w:val="28"/>
          <w:szCs w:val="26"/>
        </w:rPr>
        <w:tab/>
      </w:r>
      <w:r>
        <w:rPr>
          <w:b/>
          <w:sz w:val="28"/>
          <w:szCs w:val="26"/>
        </w:rPr>
        <w:tab/>
      </w:r>
      <w:r>
        <w:rPr>
          <w:b/>
          <w:sz w:val="28"/>
          <w:szCs w:val="26"/>
        </w:rPr>
        <w:tab/>
      </w:r>
      <w:r>
        <w:rPr>
          <w:b/>
          <w:sz w:val="28"/>
          <w:szCs w:val="28"/>
          <w:lang w:val="vi-VN"/>
        </w:rPr>
      </w:r>
      <w:r>
        <w:rPr>
          <w:b/>
          <w:sz w:val="28"/>
          <w:szCs w:val="28"/>
          <w:lang w:val="vi-VN"/>
        </w:rPr>
      </w:r>
    </w:p>
    <w:p>
      <w:pPr>
        <w:pStyle w:val="923"/>
        <w:pBdr/>
        <w:spacing w:after="0" w:before="0"/>
        <w:ind w:firstLine="0"/>
        <w:rPr>
          <w:rFonts w:ascii="Times New Roman" w:hAnsi="Times New Roman"/>
          <w:b/>
          <w:bCs/>
          <w:sz w:val="18"/>
          <w:szCs w:val="28"/>
        </w:rPr>
      </w:pPr>
      <w:r>
        <w:rPr>
          <w:rFonts w:ascii="Times New Roman" w:hAnsi="Times New Roman"/>
          <w:b/>
          <w:bCs/>
          <w:sz w:val="18"/>
          <w:szCs w:val="28"/>
        </w:rPr>
      </w:r>
      <w:r>
        <w:rPr>
          <w:rFonts w:ascii="Times New Roman" w:hAnsi="Times New Roman"/>
          <w:b/>
          <w:bCs/>
          <w:sz w:val="18"/>
          <w:szCs w:val="28"/>
        </w:rPr>
      </w:r>
      <w:r>
        <w:rPr>
          <w:rFonts w:ascii="Times New Roman" w:hAnsi="Times New Roman"/>
          <w:b/>
          <w:bCs/>
          <w:sz w:val="18"/>
          <w:szCs w:val="28"/>
        </w:rPr>
      </w:r>
    </w:p>
    <w:p>
      <w:pPr>
        <w:pStyle w:val="923"/>
        <w:pBdr/>
        <w:tabs>
          <w:tab w:val="clear" w:leader="none" w:pos="1584"/>
        </w:tabs>
        <w:spacing w:after="0" w:before="0"/>
        <w:ind w:firstLine="0" w:left="0"/>
        <w:jc w:val="center"/>
        <w:rPr>
          <w:rFonts w:ascii="Times New Roman" w:hAnsi="Times New Roman" w:cs="Times New Roman"/>
          <w:b/>
          <w:bCs/>
          <w:sz w:val="28"/>
          <w:szCs w:val="28"/>
        </w:rPr>
      </w:pPr>
      <w:r>
        <w:rPr>
          <w:rFonts w:ascii="Times New Roman" w:hAnsi="Times New Roman" w:cs="Times New Roman"/>
          <w:b/>
          <w:bCs/>
          <w:sz w:val="28"/>
          <w:szCs w:val="28"/>
        </w:rPr>
        <w:t xml:space="preserve">NGHỊ QUYẾT</w:t>
      </w:r>
      <w:r>
        <w:rPr>
          <w:rFonts w:ascii="Times New Roman" w:hAnsi="Times New Roman" w:cs="Times New Roman"/>
          <w:b/>
          <w:bCs/>
          <w:sz w:val="28"/>
          <w:szCs w:val="28"/>
        </w:rPr>
      </w:r>
      <w:r>
        <w:rPr>
          <w:rFonts w:ascii="Times New Roman" w:hAnsi="Times New Roman" w:cs="Times New Roman"/>
          <w:b/>
          <w:bCs/>
          <w:sz w:val="28"/>
          <w:szCs w:val="28"/>
        </w:rPr>
      </w:r>
    </w:p>
    <w:p>
      <w:pPr>
        <w:pBdr/>
        <w:spacing/>
        <w:ind/>
        <w:jc w:val="center"/>
        <w:rPr>
          <w:rFonts w:ascii="Times New Roman Bold" w:hAnsi="Times New Roman Bold"/>
          <w:b/>
          <w:sz w:val="28"/>
          <w:szCs w:val="28"/>
          <w:lang w:val="vi-VN"/>
        </w:rPr>
      </w:pPr>
      <w:r>
        <w:rPr>
          <w:rFonts w:ascii="Times New Roman Bold" w:hAnsi="Times New Roman Bold"/>
          <w:b/>
          <w:sz w:val="28"/>
          <w:szCs w:val="28"/>
        </w:rPr>
        <w:t xml:space="preserve">Q</w:t>
      </w:r>
      <w:r>
        <w:rPr>
          <w:rFonts w:ascii="Times New Roman Bold" w:hAnsi="Times New Roman Bold"/>
          <w:b/>
          <w:sz w:val="28"/>
          <w:szCs w:val="28"/>
          <w:lang w:val="vi-VN"/>
        </w:rPr>
        <w:t xml:space="preserve">uy định </w:t>
      </w:r>
      <w:r>
        <w:rPr>
          <w:rFonts w:ascii="Times New Roman Bold" w:hAnsi="Times New Roman Bold"/>
          <w:b/>
          <w:sz w:val="28"/>
          <w:szCs w:val="28"/>
          <w:shd w:val="clear" w:color="auto" w:fill="ffffff"/>
        </w:rPr>
        <w:t xml:space="preserve">nguyên tắc, phạm </w:t>
      </w:r>
      <w:r>
        <w:rPr>
          <w:rFonts w:ascii="Times New Roman Bold" w:hAnsi="Times New Roman Bold"/>
          <w:b/>
          <w:sz w:val="28"/>
          <w:szCs w:val="28"/>
          <w:shd w:val="clear" w:color="auto" w:fill="ffffff"/>
        </w:rPr>
        <w:t xml:space="preserve">vi</w:t>
      </w:r>
      <w:r>
        <w:rPr>
          <w:rFonts w:ascii="Times New Roman Bold" w:hAnsi="Times New Roman Bold"/>
          <w:b/>
          <w:sz w:val="28"/>
          <w:szCs w:val="28"/>
          <w:shd w:val="clear" w:color="auto" w:fill="ffffff"/>
        </w:rPr>
        <w:t xml:space="preserve">, định mức hỗ trợ và việc sử dụng kinh phí</w:t>
      </w:r>
      <w:r>
        <w:rPr>
          <w:rFonts w:ascii="Times New Roman Bold" w:hAnsi="Times New Roman Bold"/>
          <w:b/>
          <w:sz w:val="28"/>
          <w:szCs w:val="28"/>
        </w:rPr>
        <w:t xml:space="preserve"> </w:t>
      </w:r>
      <w:bookmarkStart w:id="0" w:name="_Hlk229560435"/>
      <w:r>
        <w:rPr>
          <w:rFonts w:ascii="Times New Roman Bold" w:hAnsi="Times New Roman Bold"/>
          <w:b/>
          <w:sz w:val="28"/>
          <w:szCs w:val="28"/>
          <w:lang w:val="vi-VN"/>
        </w:rPr>
      </w:r>
      <w:r>
        <w:rPr>
          <w:rFonts w:ascii="Times New Roman Bold" w:hAnsi="Times New Roman Bold"/>
          <w:b/>
          <w:sz w:val="28"/>
          <w:szCs w:val="28"/>
          <w:lang w:val="vi-VN"/>
        </w:rPr>
      </w:r>
    </w:p>
    <w:p>
      <w:pPr>
        <w:pBdr/>
        <w:spacing/>
        <w:ind/>
        <w:jc w:val="center"/>
        <w:rPr>
          <w:rFonts w:ascii="Times New Roman Bold" w:hAnsi="Times New Roman Bold"/>
          <w:b/>
          <w:sz w:val="28"/>
          <w:szCs w:val="28"/>
          <w:lang w:val="vi-VN"/>
        </w:rPr>
      </w:pPr>
      <w:r>
        <w:rPr>
          <w:rFonts w:ascii="Times New Roman Bold" w:hAnsi="Times New Roman Bold"/>
          <w:b/>
          <w:iCs/>
          <w:sz w:val="28"/>
          <w:szCs w:val="28"/>
          <w:shd w:val="clear" w:color="auto" w:fill="ffffff"/>
          <w:lang w:val="vi-VN"/>
        </w:rPr>
        <w:t xml:space="preserve">hỗ trợ </w:t>
      </w:r>
      <w:r>
        <w:rPr>
          <w:rFonts w:ascii="Times New Roman Bold" w:hAnsi="Times New Roman Bold" w:eastAsia="Calibri"/>
          <w:b/>
          <w:iCs/>
          <w:sz w:val="28"/>
          <w:szCs w:val="28"/>
          <w:lang w:val="vi-VN"/>
        </w:rPr>
        <w:t xml:space="preserve">cho các hoạt động quy định tại khoản 2</w:t>
      </w:r>
      <w:bookmarkEnd w:id="0"/>
      <w:r>
        <w:rPr>
          <w:rFonts w:ascii="Times New Roman Bold" w:hAnsi="Times New Roman Bold"/>
          <w:b/>
          <w:sz w:val="28"/>
          <w:szCs w:val="28"/>
          <w:shd w:val="clear" w:color="auto" w:fill="ffffff"/>
          <w:lang w:val="vi-VN"/>
        </w:rPr>
        <w:t xml:space="preserve"> Điều 15 Nghị định số</w:t>
      </w:r>
      <w:r>
        <w:rPr>
          <w:rFonts w:ascii="Times New Roman Bold" w:hAnsi="Times New Roman Bold"/>
          <w:b/>
          <w:sz w:val="28"/>
          <w:szCs w:val="28"/>
          <w:shd w:val="clear" w:color="auto" w:fill="ffffff"/>
          <w:lang w:val="vi-VN"/>
        </w:rPr>
        <w:t xml:space="preserve"> </w:t>
      </w:r>
      <w:r>
        <w:rPr>
          <w:rFonts w:ascii="Times New Roman Bold" w:hAnsi="Times New Roman Bold"/>
          <w:b/>
          <w:sz w:val="28"/>
          <w:szCs w:val="28"/>
          <w:shd w:val="clear" w:color="auto" w:fill="ffffff"/>
          <w:lang w:val="vi-VN"/>
        </w:rPr>
        <w:t xml:space="preserve">112/2024/NĐ-CP ngày 11/9/2024 của Chính phủ trên địa bàn tỉnh Tây Ninh</w:t>
      </w:r>
      <w:r>
        <w:rPr>
          <w:rFonts w:ascii="Times New Roman Bold" w:hAnsi="Times New Roman Bold"/>
          <w:b/>
          <w:sz w:val="28"/>
          <w:szCs w:val="28"/>
          <w:lang w:val="vi-VN"/>
        </w:rPr>
      </w:r>
      <w:r>
        <w:rPr>
          <w:rFonts w:ascii="Times New Roman Bold" w:hAnsi="Times New Roman Bold"/>
          <w:b/>
          <w:sz w:val="28"/>
          <w:szCs w:val="28"/>
          <w:lang w:val="vi-VN"/>
        </w:rPr>
      </w:r>
    </w:p>
    <w:p>
      <w:pPr>
        <w:pStyle w:val="973"/>
        <w:pBdr/>
        <w:spacing w:after="0" w:line="240" w:lineRule="auto"/>
        <w:ind/>
        <w:rPr>
          <w:i/>
          <w:sz w:val="20"/>
          <w:szCs w:val="28"/>
          <w:lang w:val="vi-VN"/>
        </w:rPr>
      </w:pPr>
      <w:r>
        <w:rPr>
          <w:i/>
          <w:sz w:val="20"/>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70016" behindDoc="0" locked="0" layoutInCell="1" allowOverlap="1">
                <wp:simplePos x="0" y="0"/>
                <wp:positionH relativeFrom="column">
                  <wp:posOffset>2459990</wp:posOffset>
                </wp:positionH>
                <wp:positionV relativeFrom="paragraph">
                  <wp:posOffset>102598</wp:posOffset>
                </wp:positionV>
                <wp:extent cx="851718" cy="0"/>
                <wp:effectExtent l="0" t="0" r="24765" b="19050"/>
                <wp:wrapNone/>
                <wp:docPr id="3" name="Straight Connector 1"/>
                <wp:cNvGraphicFramePr/>
                <a:graphic xmlns:a="http://schemas.openxmlformats.org/drawingml/2006/main">
                  <a:graphicData uri="http://schemas.microsoft.com/office/word/2010/wordprocessingShape">
                    <wps:wsp>
                      <wps:cNvPr id="0" name=""/>
                      <wps:cNvSpPr/>
                      <wps:spPr bwMode="auto">
                        <a:xfrm>
                          <a:off x="0" y="0"/>
                          <a:ext cx="85171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anchor>
            </w:drawing>
          </mc:Choice>
          <mc:Fallback>
            <w:pict>
              <v:line id="shape 2" o:spid="_x0000_s2" style="position:absolute;left:0;text-align:left;z-index:251670016;mso-wrap-distance-left:9.00pt;mso-wrap-distance-top:0.00pt;mso-wrap-distance-right:9.00pt;mso-wrap-distance-bottom:0.00pt;visibility:visible;" from="193.7pt,8.1pt" to="260.8pt,8.1pt" filled="f" strokecolor="#000000" strokeweight="0.50pt">
                <v:stroke dashstyle="solid"/>
              </v:line>
            </w:pict>
          </mc:Fallback>
        </mc:AlternateContent>
      </w:r>
      <w:r>
        <w:rPr>
          <w:i/>
          <w:sz w:val="20"/>
          <w:szCs w:val="28"/>
          <w:lang w:val="vi-VN"/>
        </w:rPr>
      </w:r>
      <w:r>
        <w:rPr>
          <w:i/>
          <w:sz w:val="20"/>
          <w:szCs w:val="28"/>
          <w:lang w:val="vi-VN"/>
        </w:rPr>
      </w:r>
    </w:p>
    <w:p>
      <w:pPr>
        <w:pStyle w:val="973"/>
        <w:pBdr/>
        <w:spacing w:after="0" w:before="120" w:line="240" w:lineRule="auto"/>
        <w:ind w:firstLine="706" w:left="0"/>
        <w:jc w:val="both"/>
        <w:rPr>
          <w:i/>
          <w:sz w:val="28"/>
          <w:szCs w:val="28"/>
          <w:lang w:val="vi-VN"/>
        </w:rPr>
      </w:pPr>
      <w:r/>
      <w:bookmarkStart w:id="1" w:name="_Hlk227589714"/>
      <w:r>
        <w:rPr>
          <w:i/>
          <w:iCs/>
          <w:sz w:val="28"/>
          <w:szCs w:val="28"/>
          <w:lang w:val="vi-VN"/>
        </w:rPr>
        <w:t xml:space="preserve">Căn cứ Luật Tổ chức chính quyền địa phương số 72/2025/QH15;</w:t>
      </w:r>
      <w:r>
        <w:rPr>
          <w:i/>
          <w:sz w:val="28"/>
          <w:szCs w:val="28"/>
          <w:lang w:val="vi-VN"/>
        </w:rPr>
      </w:r>
      <w:r>
        <w:rPr>
          <w:i/>
          <w:sz w:val="28"/>
          <w:szCs w:val="28"/>
          <w:lang w:val="vi-VN"/>
        </w:rPr>
      </w:r>
    </w:p>
    <w:p>
      <w:pPr>
        <w:pStyle w:val="973"/>
        <w:pBdr/>
        <w:spacing w:after="0" w:before="120" w:line="240" w:lineRule="auto"/>
        <w:ind w:firstLine="709" w:left="0"/>
        <w:jc w:val="both"/>
        <w:rPr>
          <w:i/>
          <w:sz w:val="28"/>
          <w:szCs w:val="28"/>
          <w:lang w:val="vi-VN"/>
        </w:rPr>
      </w:pPr>
      <w:r>
        <w:rPr>
          <w:i/>
          <w:iCs/>
          <w:sz w:val="28"/>
          <w:szCs w:val="28"/>
          <w:lang w:val="vi-VN"/>
        </w:rPr>
        <w:t xml:space="preserve">Căn cứ Luật Trồng trọt số 31/2018/QH15 được sửa đổi, bổ sung bởi Luật sửa đổi, bổ sung một số điều của 15 luật trong lĩnh vực nông nghiệp và môi trường số 146/2025/QH15; </w:t>
      </w:r>
      <w:r>
        <w:rPr>
          <w:i/>
          <w:sz w:val="28"/>
          <w:szCs w:val="28"/>
          <w:lang w:val="vi-VN"/>
        </w:rPr>
      </w:r>
      <w:r>
        <w:rPr>
          <w:i/>
          <w:sz w:val="28"/>
          <w:szCs w:val="28"/>
          <w:lang w:val="vi-VN"/>
        </w:rPr>
      </w:r>
    </w:p>
    <w:p>
      <w:pPr>
        <w:pStyle w:val="973"/>
        <w:pBdr/>
        <w:spacing w:after="0" w:before="120" w:line="240" w:lineRule="auto"/>
        <w:ind w:firstLine="709" w:left="0"/>
        <w:jc w:val="both"/>
        <w:rPr>
          <w:i/>
          <w:sz w:val="28"/>
          <w:szCs w:val="28"/>
          <w:lang w:val="vi-VN"/>
        </w:rPr>
      </w:pPr>
      <w:r>
        <w:rPr>
          <w:i/>
          <w:iCs/>
          <w:sz w:val="28"/>
          <w:szCs w:val="28"/>
          <w:lang w:val="vi-VN"/>
        </w:rPr>
        <w:t xml:space="preserve">Căn cứ Luật Ngân sách nhà nước số 89/2025/QH15;</w:t>
      </w:r>
      <w:r>
        <w:rPr>
          <w:i/>
          <w:sz w:val="28"/>
          <w:szCs w:val="28"/>
          <w:lang w:val="vi-VN"/>
        </w:rPr>
      </w:r>
      <w:r>
        <w:rPr>
          <w:i/>
          <w:sz w:val="28"/>
          <w:szCs w:val="28"/>
          <w:lang w:val="vi-VN"/>
        </w:rPr>
      </w:r>
    </w:p>
    <w:p>
      <w:pPr>
        <w:pStyle w:val="973"/>
        <w:pBdr/>
        <w:spacing w:after="0" w:before="120" w:line="240" w:lineRule="auto"/>
        <w:ind w:firstLine="709" w:left="0"/>
        <w:jc w:val="both"/>
        <w:rPr>
          <w:i/>
          <w:sz w:val="28"/>
          <w:szCs w:val="28"/>
          <w:lang w:val="vi-VN"/>
        </w:rPr>
      </w:pPr>
      <w:r>
        <w:rPr>
          <w:i/>
          <w:iCs/>
          <w:sz w:val="28"/>
          <w:szCs w:val="28"/>
          <w:lang w:val="vi-VN"/>
        </w:rPr>
        <w:t xml:space="preserve">Căn cứ Luật Đất đai số 31/2024/QH15 được sửa đổi, bổ sung bởi Luật số 43/2024/QH15</w:t>
      </w:r>
      <w:r>
        <w:rPr>
          <w:i/>
          <w:sz w:val="28"/>
          <w:szCs w:val="28"/>
          <w:lang w:val="vi-VN"/>
        </w:rPr>
        <w:t xml:space="preserve">; </w:t>
      </w:r>
      <w:r>
        <w:rPr>
          <w:i/>
          <w:iCs/>
          <w:sz w:val="28"/>
          <w:szCs w:val="28"/>
          <w:lang w:val="vi-VN"/>
        </w:rPr>
        <w:t xml:space="preserve">Luật số 47/2024/QH15; Luật số 58/2024/QH15; Luật số 71/2025/QH15; Luật số 84/2024/QH15; Luật số 93/2024/QH15 và Luật số 95/2025/QH15;</w:t>
      </w:r>
      <w:r>
        <w:rPr>
          <w:i/>
          <w:sz w:val="28"/>
          <w:szCs w:val="28"/>
          <w:lang w:val="vi-VN"/>
        </w:rPr>
      </w:r>
      <w:r>
        <w:rPr>
          <w:i/>
          <w:sz w:val="28"/>
          <w:szCs w:val="28"/>
          <w:lang w:val="vi-VN"/>
        </w:rPr>
      </w:r>
    </w:p>
    <w:p>
      <w:pPr>
        <w:pStyle w:val="973"/>
        <w:pBdr/>
        <w:spacing w:after="0" w:before="120" w:line="240" w:lineRule="auto"/>
        <w:ind w:firstLine="709" w:left="0"/>
        <w:jc w:val="both"/>
        <w:rPr>
          <w:i/>
          <w:sz w:val="28"/>
          <w:szCs w:val="28"/>
          <w:lang w:val="vi-VN"/>
        </w:rPr>
      </w:pPr>
      <w:r>
        <w:rPr>
          <w:i/>
          <w:iCs/>
          <w:sz w:val="28"/>
          <w:szCs w:val="28"/>
          <w:lang w:val="vi-VN"/>
        </w:rPr>
        <w:t xml:space="preserve">Căn cứ Nghị định số 112/2024/NĐ-CP ngày 11 tháng 9 năm 2024 của Chính phủ quy định chi tiết về đất trồng lúa;</w:t>
      </w:r>
      <w:r>
        <w:rPr>
          <w:i/>
          <w:sz w:val="28"/>
          <w:szCs w:val="28"/>
          <w:lang w:val="vi-VN"/>
        </w:rPr>
      </w:r>
      <w:r>
        <w:rPr>
          <w:i/>
          <w:sz w:val="28"/>
          <w:szCs w:val="28"/>
          <w:lang w:val="vi-VN"/>
        </w:rPr>
      </w:r>
    </w:p>
    <w:p>
      <w:pPr>
        <w:pStyle w:val="973"/>
        <w:pBdr/>
        <w:spacing w:after="0" w:before="120" w:line="240" w:lineRule="auto"/>
        <w:ind w:firstLine="709" w:left="0"/>
        <w:jc w:val="both"/>
        <w:rPr>
          <w:i/>
          <w:sz w:val="28"/>
          <w:szCs w:val="28"/>
          <w:lang w:val="vi-VN"/>
        </w:rPr>
      </w:pPr>
      <w:r>
        <w:rPr>
          <w:i/>
          <w:iCs/>
          <w:sz w:val="28"/>
          <w:szCs w:val="28"/>
          <w:lang w:val="vi-VN"/>
        </w:rPr>
        <w:t xml:space="preserve">Căn cứ Nghị định số 125/2025/NĐ-CP ngày 11 tháng 6 năm 2025 của Chính phủ quy định về phân định thẩm quyền của chính quyền địa phương 02 cấp trong lĩnh vực quản lý nhà nước của Bộ Tài chính;</w:t>
      </w:r>
      <w:r>
        <w:rPr>
          <w:i/>
          <w:sz w:val="28"/>
          <w:szCs w:val="28"/>
          <w:lang w:val="vi-VN"/>
        </w:rPr>
      </w:r>
      <w:r>
        <w:rPr>
          <w:i/>
          <w:sz w:val="28"/>
          <w:szCs w:val="28"/>
          <w:lang w:val="vi-VN"/>
        </w:rPr>
      </w:r>
    </w:p>
    <w:p>
      <w:pPr>
        <w:pStyle w:val="973"/>
        <w:pBdr/>
        <w:spacing w:after="0" w:before="120" w:line="240" w:lineRule="auto"/>
        <w:ind w:firstLine="709" w:left="0"/>
        <w:jc w:val="both"/>
        <w:rPr>
          <w:i/>
          <w:sz w:val="28"/>
          <w:szCs w:val="28"/>
          <w:lang w:val="vi-VN"/>
        </w:rPr>
      </w:pPr>
      <w:r>
        <w:rPr>
          <w:i/>
          <w:iCs/>
          <w:sz w:val="28"/>
          <w:szCs w:val="28"/>
          <w:lang w:val="vi-VN"/>
        </w:rPr>
        <w:t xml:space="preserve">Căn cứ Nghị định số 151/2025/NĐ-CP ngày 12 tháng 6 năm 2025 của Chính phủ quy định về phân định thẩm quyền của chính quyền địa phương 02 cấp, phân quyền, phân cấp trong lĩnh vực đất đai;</w:t>
      </w:r>
      <w:r>
        <w:rPr>
          <w:i/>
          <w:sz w:val="28"/>
          <w:szCs w:val="28"/>
          <w:lang w:val="vi-VN"/>
        </w:rPr>
      </w:r>
      <w:r>
        <w:rPr>
          <w:i/>
          <w:sz w:val="28"/>
          <w:szCs w:val="28"/>
          <w:lang w:val="vi-VN"/>
        </w:rPr>
      </w:r>
    </w:p>
    <w:p>
      <w:pPr>
        <w:pStyle w:val="973"/>
        <w:pBdr/>
        <w:spacing w:after="0" w:before="120" w:line="240" w:lineRule="auto"/>
        <w:ind w:firstLine="709" w:left="0"/>
        <w:jc w:val="both"/>
        <w:rPr>
          <w:i/>
          <w:sz w:val="28"/>
          <w:szCs w:val="28"/>
          <w:lang w:val="vi-VN"/>
        </w:rPr>
      </w:pPr>
      <w:r>
        <w:rPr>
          <w:i/>
          <w:iCs/>
          <w:sz w:val="28"/>
          <w:szCs w:val="28"/>
          <w:lang w:val="vi-VN"/>
        </w:rPr>
        <w:t xml:space="preserve">Căn cứ Nghị định số 226/2025/NĐ-CP ngày 15 tháng 8 năm 2025 của Chính phủ về sửa đổi, bổ sung một số điều của các Nghị định quy định chi tiết thi hành Luật đất đai;</w:t>
      </w:r>
      <w:r>
        <w:rPr>
          <w:i/>
          <w:sz w:val="28"/>
          <w:szCs w:val="28"/>
          <w:lang w:val="vi-VN"/>
        </w:rPr>
      </w:r>
      <w:r>
        <w:rPr>
          <w:i/>
          <w:sz w:val="28"/>
          <w:szCs w:val="28"/>
          <w:lang w:val="vi-VN"/>
        </w:rPr>
      </w:r>
    </w:p>
    <w:p>
      <w:pPr>
        <w:pStyle w:val="973"/>
        <w:pBdr/>
        <w:spacing w:after="0" w:before="120" w:line="240" w:lineRule="auto"/>
        <w:ind w:firstLine="709" w:left="0"/>
        <w:jc w:val="both"/>
        <w:rPr>
          <w:i/>
          <w:sz w:val="28"/>
          <w:szCs w:val="28"/>
          <w:lang w:val="vi-VN"/>
        </w:rPr>
      </w:pPr>
      <w:r>
        <w:rPr>
          <w:i/>
          <w:iCs/>
          <w:sz w:val="28"/>
          <w:szCs w:val="28"/>
          <w:lang w:val="vi-VN"/>
        </w:rPr>
        <w:t xml:space="preserve">Căn cứ Nghị định số 33/2026/NĐ-CP ngày 21 tháng 01 năm 2026 của Chính phủ sửa đổi, bổ sung một số điều của các nghị định trong lĩnh vực trồng trọt và bảo vệ thực vật;</w:t>
      </w:r>
      <w:r>
        <w:rPr>
          <w:i/>
          <w:sz w:val="28"/>
          <w:szCs w:val="28"/>
          <w:lang w:val="vi-VN"/>
        </w:rPr>
      </w:r>
      <w:r>
        <w:rPr>
          <w:i/>
          <w:sz w:val="28"/>
          <w:szCs w:val="28"/>
          <w:lang w:val="vi-VN"/>
        </w:rPr>
      </w:r>
    </w:p>
    <w:p>
      <w:pPr>
        <w:pBdr/>
        <w:spacing w:before="120"/>
        <w:ind w:firstLine="709"/>
        <w:jc w:val="both"/>
        <w:rPr>
          <w:i/>
          <w:sz w:val="28"/>
          <w:szCs w:val="28"/>
          <w:lang w:val="vi-VN"/>
        </w:rPr>
      </w:pPr>
      <w:r>
        <w:rPr>
          <w:i/>
          <w:spacing w:val="-4"/>
          <w:sz w:val="28"/>
          <w:szCs w:val="28"/>
          <w:lang w:val="vi-VN"/>
        </w:rPr>
        <w:tab/>
        <w:t xml:space="preserve">Xét Tờ trình số </w:t>
      </w:r>
      <w:r>
        <w:rPr>
          <w:i/>
          <w:spacing w:val="-4"/>
          <w:sz w:val="28"/>
          <w:szCs w:val="28"/>
        </w:rPr>
        <w:t xml:space="preserve">3227</w:t>
      </w:r>
      <w:r>
        <w:rPr>
          <w:i/>
          <w:spacing w:val="-4"/>
          <w:sz w:val="28"/>
          <w:szCs w:val="28"/>
          <w:lang w:val="vi-VN"/>
        </w:rPr>
        <w:t xml:space="preserve">/TTr-UBND ngày </w:t>
      </w:r>
      <w:r>
        <w:rPr>
          <w:i/>
          <w:spacing w:val="-4"/>
          <w:sz w:val="28"/>
          <w:szCs w:val="28"/>
        </w:rPr>
        <w:t xml:space="preserve">09</w:t>
      </w:r>
      <w:r>
        <w:rPr>
          <w:i/>
          <w:spacing w:val="-4"/>
          <w:sz w:val="28"/>
          <w:szCs w:val="28"/>
          <w:lang w:val="vi-VN"/>
        </w:rPr>
        <w:t xml:space="preserve"> tháng </w:t>
      </w:r>
      <w:r>
        <w:rPr>
          <w:i/>
          <w:spacing w:val="-4"/>
          <w:sz w:val="28"/>
          <w:szCs w:val="28"/>
        </w:rPr>
        <w:t xml:space="preserve">7</w:t>
      </w:r>
      <w:r>
        <w:rPr>
          <w:i/>
          <w:spacing w:val="-4"/>
          <w:sz w:val="28"/>
          <w:szCs w:val="28"/>
          <w:lang w:val="vi-VN"/>
        </w:rPr>
        <w:t xml:space="preserve"> năm 2026  của Ủy ban nhân dân tỉnh về việc ban hành </w:t>
      </w:r>
      <w:r>
        <w:rPr>
          <w:i/>
          <w:sz w:val="28"/>
          <w:szCs w:val="28"/>
          <w:lang w:val="vi-VN"/>
        </w:rPr>
        <w:t xml:space="preserve">Nghị quyết quy định </w:t>
      </w:r>
      <w:r>
        <w:rPr>
          <w:i/>
          <w:sz w:val="28"/>
          <w:szCs w:val="28"/>
          <w:shd w:val="clear" w:color="auto" w:fill="ffffff"/>
          <w:lang w:val="vi-VN"/>
        </w:rPr>
        <w:t xml:space="preserve">nguyên tắc, phạm vi, định mức hỗ trợ và việc sử dụng kinh phí hỗ trợ bảo vệ đất trồng lúa theo quy định tại Điều 15 Nghị định số 112/2024/NĐ-CP ngày 11/9/2024 của Chính phủ trên địa bàn tỉnh Tây Ninh</w:t>
      </w:r>
      <w:r>
        <w:rPr>
          <w:i/>
          <w:sz w:val="28"/>
          <w:szCs w:val="28"/>
          <w:lang w:val="vi-VN"/>
        </w:rPr>
        <w:t xml:space="preserve">; Báo cáo thẩm tra số </w:t>
      </w:r>
      <w:r>
        <w:rPr>
          <w:i/>
          <w:sz w:val="28"/>
          <w:szCs w:val="28"/>
        </w:rPr>
        <w:t xml:space="preserve">829</w:t>
      </w:r>
      <w:r>
        <w:rPr>
          <w:i/>
          <w:sz w:val="28"/>
          <w:szCs w:val="28"/>
          <w:lang w:val="vi-VN"/>
        </w:rPr>
        <w:t xml:space="preserve">/BC-HĐND ngày </w:t>
      </w:r>
      <w:r>
        <w:rPr>
          <w:i/>
          <w:sz w:val="28"/>
          <w:szCs w:val="28"/>
        </w:rPr>
        <w:t xml:space="preserve">14 </w:t>
      </w:r>
      <w:r>
        <w:rPr>
          <w:i/>
          <w:sz w:val="28"/>
          <w:szCs w:val="28"/>
          <w:lang w:val="vi-VN"/>
        </w:rPr>
        <w:t xml:space="preserve">tháng</w:t>
      </w:r>
      <w:r>
        <w:rPr>
          <w:i/>
          <w:sz w:val="28"/>
          <w:szCs w:val="28"/>
          <w:lang w:val="vi-VN"/>
        </w:rPr>
        <w:t xml:space="preserve"> </w:t>
      </w:r>
      <w:r>
        <w:rPr>
          <w:i/>
          <w:sz w:val="28"/>
          <w:szCs w:val="28"/>
        </w:rPr>
        <w:t xml:space="preserve">7 </w:t>
      </w:r>
      <w:r>
        <w:rPr>
          <w:i/>
          <w:sz w:val="28"/>
          <w:szCs w:val="28"/>
          <w:lang w:val="vi-VN"/>
        </w:rPr>
        <w:t xml:space="preserve">năm 2026 của Ban Kinh tế - Ngân sách Hội đồng nhân dân tỉnh và ý kiến thảo luận của đại biểu Hội đồng nhân dân tỉnh tại kỳ họp;</w:t>
      </w:r>
      <w:r>
        <w:rPr>
          <w:i/>
          <w:sz w:val="28"/>
          <w:szCs w:val="28"/>
          <w:lang w:val="vi-VN"/>
        </w:rPr>
      </w:r>
      <w:r>
        <w:rPr>
          <w:i/>
          <w:sz w:val="28"/>
          <w:szCs w:val="28"/>
          <w:lang w:val="vi-VN"/>
        </w:rPr>
      </w:r>
    </w:p>
    <w:p>
      <w:pPr>
        <w:pBdr/>
        <w:tabs>
          <w:tab w:val="left" w:leader="none" w:pos="670"/>
          <w:tab w:val="left" w:leader="none" w:pos="1570"/>
          <w:tab w:val="center" w:leader="none" w:pos="4677"/>
        </w:tabs>
        <w:spacing w:before="120"/>
        <w:ind w:firstLine="709"/>
        <w:jc w:val="both"/>
        <w:rPr>
          <w:b/>
          <w:sz w:val="28"/>
          <w:szCs w:val="28"/>
          <w:lang w:val="vi-VN"/>
        </w:rPr>
      </w:pPr>
      <w:r>
        <w:rPr>
          <w:i/>
          <w:sz w:val="28"/>
          <w:szCs w:val="28"/>
          <w:lang w:val="vi-VN"/>
        </w:rPr>
        <w:t xml:space="preserve">Hội đồng nhân dân tỉnh ban hành Nghị quyết quy định </w:t>
      </w:r>
      <w:r>
        <w:rPr>
          <w:i/>
          <w:sz w:val="28"/>
          <w:szCs w:val="28"/>
          <w:shd w:val="clear" w:color="auto" w:fill="ffffff"/>
          <w:lang w:val="vi-VN"/>
        </w:rPr>
        <w:t xml:space="preserve">nguyên tắc, phạm vi, định mức hỗ trợ và việc sử dụng kinh phí hỗ trợ </w:t>
      </w:r>
      <w:r>
        <w:rPr>
          <w:rFonts w:eastAsia="Calibri"/>
          <w:bCs/>
          <w:i/>
          <w:sz w:val="28"/>
          <w:szCs w:val="28"/>
          <w:lang w:val="vi-VN"/>
        </w:rPr>
        <w:t xml:space="preserve">cho các hoạt động quy định tại khoản 2 </w:t>
      </w:r>
      <w:r>
        <w:rPr>
          <w:i/>
          <w:sz w:val="28"/>
          <w:szCs w:val="28"/>
          <w:shd w:val="clear" w:color="auto" w:fill="ffffff"/>
          <w:lang w:val="vi-VN"/>
        </w:rPr>
        <w:t xml:space="preserve">Điều 15 Nghị định số 112/2024/NĐ-CP ngày 11/9/2024 của Chính phủ trên địa bàn tỉnh Tây Ninh.</w:t>
      </w:r>
      <w:bookmarkEnd w:id="1"/>
      <w:r>
        <w:rPr>
          <w:b/>
          <w:sz w:val="28"/>
          <w:szCs w:val="28"/>
          <w:lang w:val="vi-VN"/>
        </w:rPr>
      </w:r>
      <w:r>
        <w:rPr>
          <w:b/>
          <w:sz w:val="28"/>
          <w:szCs w:val="28"/>
          <w:lang w:val="vi-VN"/>
        </w:rPr>
      </w:r>
    </w:p>
    <w:p>
      <w:pPr>
        <w:pBdr/>
        <w:spacing w:before="120"/>
        <w:ind w:firstLine="709"/>
        <w:jc w:val="both"/>
        <w:rPr>
          <w:b/>
          <w:iCs/>
          <w:sz w:val="28"/>
          <w:szCs w:val="28"/>
          <w:lang w:val="vi-VN"/>
        </w:rPr>
      </w:pPr>
      <w:r>
        <w:rPr>
          <w:b/>
          <w:iCs/>
          <w:sz w:val="28"/>
          <w:szCs w:val="28"/>
          <w:lang w:val="vi-VN"/>
        </w:rPr>
        <w:t xml:space="preserve">Điều 1. Phạm vi điều chỉnh</w:t>
      </w:r>
      <w:r>
        <w:rPr>
          <w:b/>
          <w:iCs/>
          <w:sz w:val="28"/>
          <w:szCs w:val="28"/>
          <w:lang w:val="vi-VN"/>
        </w:rPr>
      </w:r>
      <w:r>
        <w:rPr>
          <w:b/>
          <w:iCs/>
          <w:sz w:val="28"/>
          <w:szCs w:val="28"/>
          <w:lang w:val="vi-VN"/>
        </w:rPr>
      </w:r>
    </w:p>
    <w:p>
      <w:pPr>
        <w:pBdr/>
        <w:spacing w:before="120"/>
        <w:ind w:firstLine="709"/>
        <w:jc w:val="both"/>
        <w:rPr>
          <w:iCs/>
          <w:sz w:val="28"/>
          <w:szCs w:val="28"/>
          <w:lang w:val="vi-VN" w:eastAsia="vi-VN"/>
        </w:rPr>
      </w:pPr>
      <w:r/>
      <w:bookmarkStart w:id="2" w:name="_Hlk229559987"/>
      <w:r>
        <w:rPr>
          <w:iCs/>
          <w:sz w:val="28"/>
          <w:szCs w:val="28"/>
          <w:lang w:val="vi-VN"/>
        </w:rPr>
        <w:t xml:space="preserve">Nghị quyết này </w:t>
      </w:r>
      <w:r>
        <w:rPr>
          <w:sz w:val="28"/>
          <w:szCs w:val="28"/>
          <w:lang w:val="vi-VN" w:eastAsia="vi-VN"/>
        </w:rPr>
        <w:t xml:space="preserve">quy định </w:t>
      </w:r>
      <w:r>
        <w:rPr>
          <w:iCs/>
          <w:sz w:val="28"/>
          <w:szCs w:val="28"/>
          <w:lang w:val="vi-VN"/>
        </w:rPr>
        <w:t xml:space="preserve">nguyên tắc, phạm vi, định mức hỗ trợ</w:t>
      </w:r>
      <w:r>
        <w:rPr>
          <w:b/>
          <w:iCs/>
          <w:sz w:val="28"/>
          <w:szCs w:val="28"/>
          <w:lang w:val="vi-VN"/>
        </w:rPr>
        <w:t xml:space="preserve"> </w:t>
      </w:r>
      <w:r>
        <w:rPr>
          <w:iCs/>
          <w:sz w:val="28"/>
          <w:szCs w:val="28"/>
          <w:lang w:val="vi-VN"/>
        </w:rPr>
        <w:t xml:space="preserve">và</w:t>
      </w:r>
      <w:r>
        <w:rPr>
          <w:b/>
          <w:iCs/>
          <w:sz w:val="28"/>
          <w:szCs w:val="28"/>
          <w:lang w:val="vi-VN"/>
        </w:rPr>
        <w:t xml:space="preserve"> </w:t>
      </w:r>
      <w:r>
        <w:rPr>
          <w:sz w:val="28"/>
          <w:szCs w:val="28"/>
          <w:lang w:val="vi-VN" w:eastAsia="vi-VN"/>
        </w:rPr>
        <w:t xml:space="preserve">việc sử dụng </w:t>
      </w:r>
      <w:r>
        <w:rPr>
          <w:sz w:val="28"/>
          <w:szCs w:val="28"/>
          <w:lang w:val="vi-VN" w:eastAsia="vi-VN"/>
        </w:rPr>
        <w:t xml:space="preserve">nguồn </w:t>
      </w:r>
      <w:r>
        <w:rPr>
          <w:bCs/>
          <w:iCs/>
          <w:sz w:val="28"/>
          <w:szCs w:val="28"/>
          <w:lang w:val="vi-VN" w:eastAsia="vi-VN"/>
        </w:rPr>
        <w:t xml:space="preserve">kinh phí</w:t>
      </w:r>
      <w:r>
        <w:rPr>
          <w:bCs/>
          <w:iCs/>
          <w:sz w:val="28"/>
          <w:szCs w:val="28"/>
          <w:lang w:val="vi-VN" w:eastAsia="vi-VN"/>
        </w:rPr>
        <w:t xml:space="preserve"> </w:t>
      </w:r>
      <w:r>
        <w:rPr>
          <w:bCs/>
          <w:iCs/>
          <w:sz w:val="28"/>
          <w:szCs w:val="28"/>
          <w:lang w:val="vi-VN" w:eastAsia="vi-VN"/>
        </w:rPr>
        <w:t xml:space="preserve">do người được Nhà nước giao đất, cho thuê đất để sử dụng vào mục đích phi nông nghiệp từ đất chuyên trồng lúa phải nộp theo quy định</w:t>
      </w:r>
      <w:r>
        <w:rPr>
          <w:i/>
          <w:sz w:val="28"/>
          <w:szCs w:val="28"/>
          <w:lang w:val="vi-VN" w:eastAsia="vi-VN"/>
        </w:rPr>
        <w:t xml:space="preserve"> </w:t>
      </w:r>
      <w:r>
        <w:rPr>
          <w:iCs/>
          <w:sz w:val="28"/>
          <w:szCs w:val="28"/>
          <w:lang w:val="vi-VN" w:eastAsia="vi-VN"/>
        </w:rPr>
        <w:t xml:space="preserve">và </w:t>
      </w:r>
      <w:r>
        <w:rPr>
          <w:iCs/>
          <w:sz w:val="28"/>
          <w:szCs w:val="28"/>
          <w:lang w:val="vi-VN" w:eastAsia="vi-VN"/>
        </w:rPr>
        <w:t xml:space="preserve">nguồn </w:t>
      </w:r>
      <w:r>
        <w:rPr>
          <w:iCs/>
          <w:sz w:val="28"/>
          <w:szCs w:val="28"/>
          <w:lang w:val="vi-VN" w:eastAsia="vi-VN"/>
        </w:rPr>
        <w:t xml:space="preserve">kinh phí ngân sách nhà nước hỗ trợ sản xuất lúa trong dự toán chi cân đối ngân sách địa phương theo quy định tại </w:t>
      </w:r>
      <w:r>
        <w:rPr>
          <w:iCs/>
          <w:sz w:val="28"/>
          <w:szCs w:val="28"/>
          <w:lang w:val="vi-VN" w:eastAsia="vi-VN"/>
        </w:rPr>
        <w:t xml:space="preserve">khoản 1 </w:t>
      </w:r>
      <w:r>
        <w:rPr>
          <w:iCs/>
          <w:sz w:val="28"/>
          <w:szCs w:val="28"/>
          <w:lang w:val="vi-VN" w:eastAsia="vi-VN"/>
        </w:rPr>
        <w:t xml:space="preserve">Điều 1</w:t>
      </w:r>
      <w:r>
        <w:rPr>
          <w:iCs/>
          <w:sz w:val="28"/>
          <w:szCs w:val="28"/>
          <w:lang w:val="vi-VN" w:eastAsia="vi-VN"/>
        </w:rPr>
        <w:t xml:space="preserve">4</w:t>
      </w:r>
      <w:r>
        <w:rPr>
          <w:iCs/>
          <w:sz w:val="28"/>
          <w:szCs w:val="28"/>
          <w:lang w:val="vi-VN" w:eastAsia="vi-VN"/>
        </w:rPr>
        <w:t xml:space="preserve"> Nghị định số 112/2024/NĐ-CP </w:t>
      </w:r>
      <w:r>
        <w:rPr>
          <w:iCs/>
          <w:sz w:val="28"/>
          <w:szCs w:val="28"/>
          <w:lang w:val="vi-VN" w:eastAsia="vi-VN"/>
        </w:rPr>
        <w:t xml:space="preserve">để </w:t>
      </w:r>
      <w:r>
        <w:rPr>
          <w:iCs/>
          <w:sz w:val="28"/>
          <w:szCs w:val="28"/>
          <w:shd w:val="clear" w:color="auto" w:fill="ffffff"/>
          <w:lang w:val="vi-VN"/>
        </w:rPr>
        <w:t xml:space="preserve">hỗ trợ </w:t>
      </w:r>
      <w:r>
        <w:rPr>
          <w:rFonts w:eastAsia="Calibri"/>
          <w:bCs/>
          <w:iCs/>
          <w:sz w:val="28"/>
          <w:szCs w:val="28"/>
          <w:lang w:val="vi-VN"/>
        </w:rPr>
        <w:t xml:space="preserve">cho các hoạt động quy định tại khoản 2</w:t>
      </w:r>
      <w:r>
        <w:rPr>
          <w:iCs/>
          <w:sz w:val="28"/>
          <w:szCs w:val="28"/>
          <w:lang w:val="vi-VN" w:eastAsia="vi-VN"/>
        </w:rPr>
        <w:t xml:space="preserve"> Điều 15 Nghị định số 112/2024/NĐ-CP</w:t>
      </w:r>
      <w:r>
        <w:rPr>
          <w:rFonts w:eastAsia="Calibri"/>
          <w:bCs/>
          <w:iCs/>
          <w:sz w:val="28"/>
          <w:szCs w:val="28"/>
          <w:lang w:val="vi-VN"/>
        </w:rPr>
        <w:t xml:space="preserve"> </w:t>
      </w:r>
      <w:r>
        <w:rPr>
          <w:iCs/>
          <w:sz w:val="28"/>
          <w:szCs w:val="28"/>
          <w:lang w:val="vi-VN" w:eastAsia="vi-VN"/>
        </w:rPr>
        <w:t xml:space="preserve">trên địa bàn tỉnh Tây Ninh.</w:t>
      </w:r>
      <w:bookmarkEnd w:id="2"/>
      <w:r>
        <w:rPr>
          <w:iCs/>
          <w:sz w:val="28"/>
          <w:szCs w:val="28"/>
          <w:lang w:val="vi-VN" w:eastAsia="vi-VN"/>
        </w:rPr>
      </w:r>
      <w:r>
        <w:rPr>
          <w:iCs/>
          <w:sz w:val="28"/>
          <w:szCs w:val="28"/>
          <w:lang w:val="vi-VN" w:eastAsia="vi-VN"/>
        </w:rPr>
      </w:r>
    </w:p>
    <w:p>
      <w:pPr>
        <w:pBdr/>
        <w:spacing w:before="120"/>
        <w:ind w:firstLine="709"/>
        <w:jc w:val="both"/>
        <w:rPr>
          <w:b/>
          <w:iCs/>
          <w:sz w:val="28"/>
          <w:szCs w:val="28"/>
          <w:lang w:val="vi-VN"/>
        </w:rPr>
      </w:pPr>
      <w:r>
        <w:rPr>
          <w:b/>
          <w:iCs/>
          <w:sz w:val="28"/>
          <w:szCs w:val="28"/>
          <w:lang w:val="vi-VN"/>
        </w:rPr>
        <w:t xml:space="preserve">Điều 2. Đối tượng áp dụng</w:t>
      </w:r>
      <w:r>
        <w:rPr>
          <w:b/>
          <w:iCs/>
          <w:sz w:val="28"/>
          <w:szCs w:val="28"/>
          <w:lang w:val="vi-VN"/>
        </w:rPr>
      </w:r>
      <w:r>
        <w:rPr>
          <w:b/>
          <w:iCs/>
          <w:sz w:val="28"/>
          <w:szCs w:val="28"/>
          <w:lang w:val="vi-VN"/>
        </w:rPr>
      </w:r>
    </w:p>
    <w:p>
      <w:pPr>
        <w:widowControl w:val="false"/>
        <w:pBdr/>
        <w:shd w:val="clear" w:color="auto" w:fill="ffffff"/>
        <w:spacing w:before="120"/>
        <w:ind w:firstLine="709"/>
        <w:jc w:val="both"/>
        <w:rPr>
          <w:sz w:val="28"/>
          <w:szCs w:val="28"/>
          <w:lang w:val="vi-VN" w:eastAsia="vi-VN"/>
        </w:rPr>
      </w:pPr>
      <w:r/>
      <w:bookmarkStart w:id="3" w:name="_Hlk229560007"/>
      <w:r>
        <w:rPr>
          <w:sz w:val="28"/>
          <w:szCs w:val="28"/>
          <w:lang w:val="vi-VN" w:eastAsia="vi-VN"/>
        </w:rPr>
        <w:t xml:space="preserve">Cơ quan</w:t>
      </w:r>
      <w:r>
        <w:rPr>
          <w:sz w:val="28"/>
          <w:szCs w:val="28"/>
          <w:lang w:val="vi-VN" w:eastAsia="vi-VN"/>
        </w:rPr>
        <w:t xml:space="preserve"> nhà nước</w:t>
      </w:r>
      <w:r>
        <w:rPr>
          <w:sz w:val="28"/>
          <w:szCs w:val="28"/>
          <w:lang w:val="vi-VN" w:eastAsia="vi-VN"/>
        </w:rPr>
        <w:t xml:space="preserve">, </w:t>
      </w:r>
      <w:r>
        <w:rPr>
          <w:sz w:val="28"/>
          <w:szCs w:val="28"/>
          <w:lang w:val="vi-VN" w:eastAsia="vi-VN"/>
        </w:rPr>
        <w:t xml:space="preserve">người sử dụng đất trồng lúa và các đối tượng khác </w:t>
      </w:r>
      <w:r>
        <w:rPr>
          <w:sz w:val="28"/>
          <w:szCs w:val="28"/>
          <w:lang w:val="vi-VN" w:eastAsia="vi-VN"/>
        </w:rPr>
        <w:t xml:space="preserve">có liên quan đến </w:t>
      </w:r>
      <w:r>
        <w:rPr>
          <w:sz w:val="28"/>
          <w:szCs w:val="28"/>
          <w:lang w:val="vi-VN" w:eastAsia="vi-VN"/>
        </w:rPr>
        <w:t xml:space="preserve">việc </w:t>
      </w:r>
      <w:r>
        <w:rPr>
          <w:sz w:val="28"/>
          <w:szCs w:val="28"/>
          <w:lang w:val="vi-VN" w:eastAsia="vi-VN"/>
        </w:rPr>
        <w:t xml:space="preserve">quản lý, sử dụng đất trồng lúa. </w:t>
      </w:r>
      <w:bookmarkEnd w:id="3"/>
      <w:r>
        <w:rPr>
          <w:sz w:val="28"/>
          <w:szCs w:val="28"/>
          <w:lang w:val="vi-VN" w:eastAsia="vi-VN"/>
        </w:rPr>
      </w:r>
      <w:r>
        <w:rPr>
          <w:sz w:val="28"/>
          <w:szCs w:val="28"/>
          <w:lang w:val="vi-VN" w:eastAsia="vi-VN"/>
        </w:rPr>
      </w:r>
    </w:p>
    <w:p>
      <w:pPr>
        <w:pBdr/>
        <w:spacing w:before="120"/>
        <w:ind w:firstLine="709"/>
        <w:jc w:val="both"/>
        <w:rPr>
          <w:b/>
          <w:iCs/>
          <w:sz w:val="28"/>
          <w:szCs w:val="28"/>
        </w:rPr>
      </w:pPr>
      <w:r>
        <w:rPr>
          <w:b/>
          <w:iCs/>
          <w:sz w:val="28"/>
          <w:szCs w:val="28"/>
          <w:lang w:val="vi-VN"/>
        </w:rPr>
        <w:t xml:space="preserve">Điều </w:t>
      </w:r>
      <w:r>
        <w:rPr>
          <w:b/>
          <w:iCs/>
          <w:sz w:val="28"/>
          <w:szCs w:val="28"/>
          <w:lang w:val="vi-VN"/>
        </w:rPr>
        <w:t xml:space="preserve">3</w:t>
      </w:r>
      <w:r>
        <w:rPr>
          <w:b/>
          <w:iCs/>
          <w:sz w:val="28"/>
          <w:szCs w:val="28"/>
          <w:lang w:val="vi-VN"/>
        </w:rPr>
        <w:t xml:space="preserve">. </w:t>
      </w:r>
      <w:r>
        <w:rPr>
          <w:b/>
          <w:iCs/>
          <w:sz w:val="28"/>
          <w:szCs w:val="28"/>
          <w:lang w:val="vi-VN"/>
        </w:rPr>
        <w:t xml:space="preserve">N</w:t>
      </w:r>
      <w:r>
        <w:rPr>
          <w:b/>
          <w:iCs/>
          <w:sz w:val="28"/>
          <w:szCs w:val="28"/>
          <w:lang w:val="vi-VN"/>
        </w:rPr>
        <w:t xml:space="preserve">guyên tắc, </w:t>
      </w:r>
      <w:r>
        <w:rPr>
          <w:b/>
          <w:iCs/>
          <w:sz w:val="28"/>
          <w:szCs w:val="28"/>
          <w:lang w:val="vi-VN"/>
        </w:rPr>
        <w:t xml:space="preserve">phạm vi</w:t>
      </w:r>
      <w:r>
        <w:rPr>
          <w:b/>
          <w:iCs/>
          <w:sz w:val="28"/>
          <w:szCs w:val="28"/>
          <w:lang w:val="vi-VN"/>
        </w:rPr>
        <w:t xml:space="preserve"> </w:t>
      </w:r>
      <w:r>
        <w:rPr>
          <w:b/>
          <w:iCs/>
          <w:sz w:val="28"/>
          <w:szCs w:val="28"/>
        </w:rPr>
        <w:t xml:space="preserve">và các hoạt động hỗ trợ</w:t>
      </w:r>
      <w:r>
        <w:rPr>
          <w:b/>
          <w:iCs/>
          <w:sz w:val="28"/>
          <w:szCs w:val="28"/>
        </w:rPr>
      </w:r>
      <w:r>
        <w:rPr>
          <w:b/>
          <w:iCs/>
          <w:sz w:val="28"/>
          <w:szCs w:val="28"/>
        </w:rPr>
      </w:r>
    </w:p>
    <w:p>
      <w:pPr>
        <w:pStyle w:val="928"/>
        <w:pBdr/>
        <w:shd w:val="clear" w:color="auto" w:fill="ffffff"/>
        <w:spacing w:after="0" w:afterAutospacing="0" w:before="120" w:beforeAutospacing="0"/>
        <w:ind w:firstLine="709"/>
        <w:jc w:val="both"/>
        <w:rPr>
          <w:b/>
          <w:bCs/>
          <w:sz w:val="28"/>
          <w:szCs w:val="28"/>
          <w:lang w:val="vi-VN"/>
        </w:rPr>
      </w:pPr>
      <w:r/>
      <w:bookmarkStart w:id="4" w:name="dieu_5"/>
      <w:r>
        <w:rPr>
          <w:b/>
          <w:bCs/>
          <w:sz w:val="28"/>
          <w:szCs w:val="28"/>
          <w:lang w:val="vi-VN"/>
        </w:rPr>
        <w:t xml:space="preserve">1. </w:t>
      </w:r>
      <w:r>
        <w:rPr>
          <w:b/>
          <w:bCs/>
          <w:sz w:val="28"/>
          <w:szCs w:val="28"/>
          <w:lang w:val="vi-VN"/>
        </w:rPr>
        <w:t xml:space="preserve">Nguyên tắc </w:t>
      </w:r>
      <w:r>
        <w:rPr>
          <w:b/>
          <w:bCs/>
          <w:sz w:val="28"/>
          <w:szCs w:val="28"/>
          <w:lang w:val="vi-VN"/>
        </w:rPr>
        <w:t xml:space="preserve">hỗ trợ</w:t>
      </w:r>
      <w:r>
        <w:rPr>
          <w:b/>
          <w:bCs/>
          <w:sz w:val="28"/>
          <w:szCs w:val="28"/>
          <w:lang w:val="vi-VN"/>
        </w:rPr>
        <w:t xml:space="preserve"> </w:t>
      </w:r>
      <w:r>
        <w:rPr>
          <w:b/>
          <w:bCs/>
          <w:sz w:val="28"/>
          <w:szCs w:val="28"/>
          <w:lang w:val="vi-VN"/>
        </w:rPr>
      </w:r>
      <w:r>
        <w:rPr>
          <w:b/>
          <w:bCs/>
          <w:sz w:val="28"/>
          <w:szCs w:val="28"/>
          <w:lang w:val="vi-VN"/>
        </w:rPr>
      </w:r>
    </w:p>
    <w:p>
      <w:pPr>
        <w:pStyle w:val="928"/>
        <w:pBdr/>
        <w:spacing w:after="0" w:afterAutospacing="0" w:before="120" w:beforeAutospacing="0"/>
        <w:ind w:firstLine="709"/>
        <w:jc w:val="both"/>
        <w:rPr>
          <w:sz w:val="28"/>
          <w:szCs w:val="28"/>
          <w:lang w:val="vi-VN"/>
        </w:rPr>
      </w:pPr>
      <w:r/>
      <w:bookmarkStart w:id="5" w:name="_Hlk229560037"/>
      <w:r>
        <w:rPr>
          <w:sz w:val="28"/>
          <w:szCs w:val="28"/>
          <w:lang w:val="vi-VN"/>
        </w:rPr>
        <w:tab/>
      </w:r>
      <w:r>
        <w:rPr>
          <w:sz w:val="28"/>
          <w:szCs w:val="28"/>
          <w:lang w:val="vi-VN"/>
        </w:rPr>
        <w:t xml:space="preserve">a</w:t>
      </w:r>
      <w:r>
        <w:rPr>
          <w:sz w:val="28"/>
          <w:szCs w:val="28"/>
          <w:lang w:val="vi-VN"/>
        </w:rPr>
        <w:t xml:space="preserve">) </w:t>
      </w:r>
      <w:r>
        <w:rPr>
          <w:sz w:val="28"/>
          <w:szCs w:val="28"/>
          <w:lang w:val="vi-VN"/>
        </w:rPr>
        <w:t xml:space="preserve">Việc hỗ trợ bảo đảm công khai, công bằng, đúng quy định pháp luật, không chồng chéo, trùng lắp, có hiệu quả và không vượt quá phạm vi dự toán kinh phí được giao hằng năm. Ưu tiên hỗ trợ trực tiếp cho người sử dụng đất trồng lúa và địa phương </w:t>
      </w:r>
      <w:r>
        <w:rPr>
          <w:sz w:val="28"/>
          <w:szCs w:val="28"/>
          <w:lang w:val="vi-VN"/>
        </w:rPr>
        <w:t xml:space="preserve">sản xuất</w:t>
      </w:r>
      <w:r>
        <w:rPr>
          <w:sz w:val="28"/>
          <w:szCs w:val="28"/>
          <w:lang w:val="vi-VN"/>
        </w:rPr>
        <w:t xml:space="preserve"> lúa. </w:t>
      </w:r>
      <w:r>
        <w:rPr>
          <w:sz w:val="28"/>
          <w:szCs w:val="28"/>
          <w:lang w:val="vi-VN"/>
        </w:rPr>
        <w:t xml:space="preserve"> </w:t>
      </w:r>
      <w:r>
        <w:rPr>
          <w:sz w:val="28"/>
          <w:szCs w:val="28"/>
          <w:lang w:val="vi-VN"/>
        </w:rPr>
      </w:r>
      <w:r>
        <w:rPr>
          <w:sz w:val="28"/>
          <w:szCs w:val="28"/>
          <w:lang w:val="vi-VN"/>
        </w:rPr>
      </w:r>
    </w:p>
    <w:p>
      <w:pPr>
        <w:pStyle w:val="928"/>
        <w:pBdr/>
        <w:shd w:val="clear" w:color="auto" w:fill="ffffff"/>
        <w:spacing w:after="0" w:afterAutospacing="0" w:before="120" w:beforeAutospacing="0"/>
        <w:ind w:firstLine="709"/>
        <w:jc w:val="both"/>
        <w:rPr>
          <w:sz w:val="28"/>
          <w:szCs w:val="28"/>
          <w:lang w:val="vi-VN"/>
        </w:rPr>
      </w:pPr>
      <w:r>
        <w:rPr>
          <w:sz w:val="28"/>
          <w:szCs w:val="28"/>
          <w:lang w:val="vi-VN"/>
        </w:rPr>
        <w:t xml:space="preserve">b</w:t>
      </w:r>
      <w:r>
        <w:rPr>
          <w:sz w:val="28"/>
          <w:szCs w:val="28"/>
          <w:lang w:val="vi-VN"/>
        </w:rPr>
        <w:t xml:space="preserve">) </w:t>
      </w:r>
      <w:r>
        <w:rPr>
          <w:sz w:val="28"/>
          <w:szCs w:val="28"/>
          <w:lang w:val="vi-VN"/>
        </w:rPr>
        <w:t xml:space="preserve">Ủy ban nhân dân cấp tỉnh chịu trách nhiệm quản lý, phân bổ nguồn ngân sách được hỗ trợ để thực hiện bảo</w:t>
      </w:r>
      <w:r>
        <w:rPr>
          <w:sz w:val="28"/>
          <w:szCs w:val="28"/>
          <w:lang w:val="vi-VN"/>
        </w:rPr>
        <w:t xml:space="preserve"> vệ đất trồng lúa theo quy định.</w:t>
      </w:r>
      <w:r>
        <w:rPr>
          <w:sz w:val="28"/>
          <w:szCs w:val="28"/>
          <w:lang w:val="vi-VN"/>
        </w:rPr>
      </w:r>
      <w:r>
        <w:rPr>
          <w:sz w:val="28"/>
          <w:szCs w:val="28"/>
          <w:lang w:val="vi-VN"/>
        </w:rPr>
      </w:r>
    </w:p>
    <w:p>
      <w:pPr>
        <w:pStyle w:val="928"/>
        <w:pBdr/>
        <w:shd w:val="clear" w:color="auto" w:fill="ffffff"/>
        <w:spacing w:after="0" w:afterAutospacing="0" w:before="120" w:beforeAutospacing="0"/>
        <w:ind w:firstLine="709"/>
        <w:jc w:val="both"/>
        <w:rPr>
          <w:sz w:val="28"/>
          <w:szCs w:val="28"/>
          <w:lang w:val="vi-VN"/>
        </w:rPr>
      </w:pPr>
      <w:r>
        <w:rPr>
          <w:sz w:val="28"/>
          <w:szCs w:val="28"/>
          <w:lang w:val="vi-VN"/>
        </w:rPr>
        <w:t xml:space="preserve">c</w:t>
      </w:r>
      <w:r>
        <w:rPr>
          <w:sz w:val="28"/>
          <w:szCs w:val="28"/>
          <w:lang w:val="vi-VN"/>
        </w:rPr>
        <w:t xml:space="preserve">) </w:t>
      </w:r>
      <w:r>
        <w:rPr>
          <w:sz w:val="28"/>
          <w:szCs w:val="28"/>
          <w:lang w:val="vi-VN"/>
        </w:rPr>
        <w:t xml:space="preserve">Ủy ban nhân dân cấp </w:t>
      </w:r>
      <w:r>
        <w:rPr>
          <w:sz w:val="28"/>
          <w:szCs w:val="28"/>
          <w:lang w:val="vi-VN"/>
        </w:rPr>
        <w:t xml:space="preserve">xã</w:t>
      </w:r>
      <w:r>
        <w:rPr>
          <w:sz w:val="28"/>
          <w:szCs w:val="28"/>
          <w:lang w:val="vi-VN"/>
        </w:rPr>
        <w:t xml:space="preserve"> chịu trách nhiệm quản lý, phân </w:t>
      </w:r>
      <w:r>
        <w:rPr>
          <w:sz w:val="28"/>
          <w:szCs w:val="28"/>
          <w:lang w:val="vi-VN"/>
        </w:rPr>
        <w:t xml:space="preserve">bổ </w:t>
      </w:r>
      <w:r>
        <w:rPr>
          <w:sz w:val="28"/>
          <w:szCs w:val="28"/>
          <w:lang w:val="vi-VN"/>
        </w:rPr>
        <w:t xml:space="preserve">nguồn ngân sách được </w:t>
      </w:r>
      <w:r>
        <w:rPr>
          <w:sz w:val="28"/>
          <w:szCs w:val="28"/>
          <w:lang w:val="vi-VN"/>
        </w:rPr>
        <w:t xml:space="preserve">giao </w:t>
      </w:r>
      <w:r>
        <w:rPr>
          <w:sz w:val="28"/>
          <w:szCs w:val="28"/>
          <w:lang w:val="vi-VN"/>
        </w:rPr>
        <w:t xml:space="preserve">để thực hiện bảo vệ đất trồng lúa theo quy định.</w:t>
      </w:r>
      <w:r>
        <w:rPr>
          <w:sz w:val="28"/>
          <w:szCs w:val="28"/>
          <w:lang w:val="vi-VN"/>
        </w:rPr>
      </w:r>
      <w:r>
        <w:rPr>
          <w:sz w:val="28"/>
          <w:szCs w:val="28"/>
          <w:lang w:val="vi-VN"/>
        </w:rPr>
      </w:r>
    </w:p>
    <w:p>
      <w:pPr>
        <w:pStyle w:val="928"/>
        <w:pBdr/>
        <w:shd w:val="clear" w:color="auto" w:fill="ffffff"/>
        <w:spacing w:after="0" w:afterAutospacing="0" w:before="120" w:beforeAutospacing="0"/>
        <w:ind w:firstLine="709"/>
        <w:jc w:val="both"/>
        <w:rPr>
          <w:spacing w:val="-5"/>
          <w:sz w:val="28"/>
          <w:szCs w:val="28"/>
          <w:lang w:val="vi-VN"/>
        </w:rPr>
      </w:pPr>
      <w:r>
        <w:rPr>
          <w:spacing w:val="-5"/>
          <w:sz w:val="28"/>
          <w:szCs w:val="28"/>
          <w:lang w:val="vi-VN"/>
        </w:rPr>
        <w:t xml:space="preserve">d) </w:t>
      </w:r>
      <w:r>
        <w:rPr>
          <w:spacing w:val="-5"/>
          <w:sz w:val="28"/>
          <w:szCs w:val="28"/>
          <w:lang w:val="vi-VN" w:eastAsia="en-GB"/>
        </w:rPr>
        <w:t xml:space="preserve">Tổng số thu tiền bảo vệ đất trồng lúa do người được </w:t>
      </w:r>
      <w:r>
        <w:rPr>
          <w:spacing w:val="-5"/>
          <w:sz w:val="28"/>
          <w:szCs w:val="28"/>
          <w:lang w:eastAsia="en-GB"/>
        </w:rPr>
        <w:t xml:space="preserve">N</w:t>
      </w:r>
      <w:r>
        <w:rPr>
          <w:spacing w:val="-5"/>
          <w:sz w:val="28"/>
          <w:szCs w:val="28"/>
          <w:lang w:val="vi-VN" w:eastAsia="en-GB"/>
        </w:rPr>
        <w:t xml:space="preserve">hà nước giao đất, cho thuê đất để sử dụng vào mục đích phi nông nghiệp từ đất chuyên trồng lúa</w:t>
      </w:r>
      <w:r>
        <w:rPr>
          <w:spacing w:val="-5"/>
          <w:sz w:val="28"/>
          <w:szCs w:val="28"/>
          <w:lang w:val="vi-VN"/>
        </w:rPr>
        <w:t xml:space="preserve"> phải nộp theo quy định và nguồn kinh phí ngân sách nhà nước hỗ trợ </w:t>
      </w:r>
      <w:r>
        <w:rPr>
          <w:iCs/>
          <w:spacing w:val="-5"/>
          <w:sz w:val="28"/>
          <w:szCs w:val="28"/>
          <w:lang w:val="vi-VN"/>
        </w:rPr>
        <w:t xml:space="preserve">sản xuất lúa trong dự toán chi cân đối ngân sách địa phương theo quy định tại </w:t>
      </w:r>
      <w:r>
        <w:rPr>
          <w:spacing w:val="-5"/>
          <w:sz w:val="28"/>
          <w:szCs w:val="28"/>
          <w:lang w:val="vi-VN"/>
        </w:rPr>
        <w:t xml:space="preserve">khoản 1 </w:t>
      </w:r>
      <w:r>
        <w:rPr>
          <w:iCs/>
          <w:spacing w:val="-5"/>
          <w:sz w:val="28"/>
          <w:szCs w:val="28"/>
          <w:lang w:val="vi-VN"/>
        </w:rPr>
        <w:t xml:space="preserve">Điều 1</w:t>
      </w:r>
      <w:r>
        <w:rPr>
          <w:iCs/>
          <w:spacing w:val="-5"/>
          <w:sz w:val="28"/>
          <w:szCs w:val="28"/>
          <w:lang w:val="vi-VN"/>
        </w:rPr>
        <w:t xml:space="preserve">4</w:t>
      </w:r>
      <w:r>
        <w:rPr>
          <w:iCs/>
          <w:spacing w:val="-5"/>
          <w:sz w:val="28"/>
          <w:szCs w:val="28"/>
          <w:lang w:val="vi-VN"/>
        </w:rPr>
        <w:t xml:space="preserve"> Nghị định số 112/2024/NĐ-CP trên địa bàn tỉnh Tây Ninh</w:t>
      </w:r>
      <w:r>
        <w:rPr>
          <w:iCs/>
          <w:spacing w:val="-5"/>
          <w:sz w:val="28"/>
          <w:szCs w:val="28"/>
          <w:lang w:val="vi-VN"/>
        </w:rPr>
        <w:t xml:space="preserve"> </w:t>
      </w:r>
      <w:r>
        <w:rPr>
          <w:spacing w:val="-5"/>
          <w:sz w:val="28"/>
          <w:szCs w:val="28"/>
          <w:lang w:val="vi-VN"/>
        </w:rPr>
        <w:t xml:space="preserve">được phân bổ, bố trí</w:t>
      </w:r>
      <w:r>
        <w:rPr>
          <w:spacing w:val="-5"/>
          <w:sz w:val="28"/>
          <w:szCs w:val="28"/>
          <w:lang w:val="vi-VN"/>
        </w:rPr>
        <w:t xml:space="preserve"> sử dụng cho mục đích bổ sung diện tích chuyên trồng lúa bị mất hoặc tăng hiệu quả sử dụng đất trồng lúa, hỗ trợ các địa phương sản xuất, bảo vệ đất trồng lúa áp dụng khoa học và công nghệ hiện đại cho vùng quy hoạch trồng lúa có năng suất, chất lượng cao.</w:t>
      </w:r>
      <w:r>
        <w:rPr>
          <w:spacing w:val="-5"/>
          <w:sz w:val="28"/>
          <w:szCs w:val="28"/>
          <w:lang w:val="vi-VN"/>
        </w:rPr>
      </w:r>
      <w:r>
        <w:rPr>
          <w:spacing w:val="-5"/>
          <w:sz w:val="28"/>
          <w:szCs w:val="28"/>
          <w:lang w:val="vi-VN"/>
        </w:rPr>
      </w:r>
    </w:p>
    <w:p>
      <w:pPr>
        <w:pStyle w:val="928"/>
        <w:pBdr/>
        <w:shd w:val="clear" w:color="auto" w:fill="ffffff"/>
        <w:spacing w:after="0" w:afterAutospacing="0" w:before="120" w:beforeAutospacing="0"/>
        <w:ind w:firstLine="709"/>
        <w:jc w:val="both"/>
        <w:rPr>
          <w:sz w:val="28"/>
          <w:szCs w:val="28"/>
          <w:lang w:val="vi-VN"/>
        </w:rPr>
      </w:pPr>
      <w:r>
        <w:rPr>
          <w:sz w:val="28"/>
          <w:szCs w:val="28"/>
          <w:lang w:val="vi-VN"/>
        </w:rPr>
        <w:t xml:space="preserve">đ</w:t>
      </w:r>
      <w:r>
        <w:rPr>
          <w:sz w:val="28"/>
          <w:szCs w:val="28"/>
          <w:lang w:val="vi-VN"/>
        </w:rPr>
        <w:t xml:space="preserve">) Trường hợp cùng một thời điểm, nội dung có nhiều chính sách ưu đãi, hỗ trợ khác nhau (kể cả các chương trình, dự án khác), đối tượng thụ hưởng lựa chọn áp dụng chính sách có lợi nhất.</w:t>
      </w:r>
      <w:bookmarkEnd w:id="4"/>
      <w:r/>
      <w:bookmarkEnd w:id="5"/>
      <w:r>
        <w:rPr>
          <w:sz w:val="28"/>
          <w:szCs w:val="28"/>
          <w:lang w:val="vi-VN"/>
        </w:rPr>
      </w:r>
      <w:r>
        <w:rPr>
          <w:sz w:val="28"/>
          <w:szCs w:val="28"/>
          <w:lang w:val="vi-VN"/>
        </w:rPr>
      </w:r>
    </w:p>
    <w:p>
      <w:pPr>
        <w:pStyle w:val="928"/>
        <w:pBdr/>
        <w:shd w:val="clear" w:color="auto" w:fill="ffffff"/>
        <w:spacing w:after="0" w:afterAutospacing="0" w:before="120" w:beforeAutospacing="0"/>
        <w:ind w:firstLine="709"/>
        <w:jc w:val="both"/>
        <w:rPr>
          <w:b/>
          <w:bCs/>
          <w:sz w:val="28"/>
          <w:szCs w:val="28"/>
          <w:lang w:val="vi-VN"/>
        </w:rPr>
      </w:pPr>
      <w:r>
        <w:rPr>
          <w:b/>
          <w:bCs/>
          <w:sz w:val="28"/>
          <w:szCs w:val="28"/>
          <w:lang w:val="vi-VN"/>
        </w:rPr>
        <w:t xml:space="preserve">2. Phạm vi hỗ trợ</w:t>
      </w:r>
      <w:r>
        <w:rPr>
          <w:b/>
          <w:bCs/>
          <w:sz w:val="28"/>
          <w:szCs w:val="28"/>
          <w:lang w:val="vi-VN"/>
        </w:rPr>
      </w:r>
      <w:r>
        <w:rPr>
          <w:b/>
          <w:bCs/>
          <w:sz w:val="28"/>
          <w:szCs w:val="28"/>
          <w:lang w:val="vi-VN"/>
        </w:rPr>
      </w:r>
    </w:p>
    <w:p>
      <w:pPr>
        <w:pStyle w:val="928"/>
        <w:pBdr/>
        <w:spacing w:after="0" w:afterAutospacing="0" w:before="120" w:beforeAutospacing="0"/>
        <w:ind w:firstLine="709"/>
        <w:jc w:val="both"/>
        <w:rPr>
          <w:iCs/>
          <w:sz w:val="28"/>
          <w:szCs w:val="28"/>
          <w:lang w:val="vi-VN" w:eastAsia="vi-VN"/>
        </w:rPr>
      </w:pPr>
      <w:r>
        <w:rPr>
          <w:iCs/>
          <w:sz w:val="28"/>
          <w:szCs w:val="28"/>
          <w:lang w:val="vi-VN" w:eastAsia="vi-VN"/>
        </w:rPr>
        <w:t xml:space="preserve">T</w:t>
      </w:r>
      <w:r>
        <w:rPr>
          <w:iCs/>
          <w:sz w:val="28"/>
          <w:szCs w:val="28"/>
          <w:lang w:val="vi-VN" w:eastAsia="vi-VN"/>
        </w:rPr>
        <w:t xml:space="preserve">hực hiện các hoạt động hỗ trợ theo quy định tại khoản 2 Điều 15 Nghị định số 112/2024/NĐ-CP, cụ thể bao gồm:</w:t>
      </w:r>
      <w:r>
        <w:rPr>
          <w:iCs/>
          <w:sz w:val="28"/>
          <w:szCs w:val="28"/>
          <w:lang w:val="vi-VN" w:eastAsia="vi-VN"/>
        </w:rPr>
      </w:r>
      <w:r>
        <w:rPr>
          <w:iCs/>
          <w:sz w:val="28"/>
          <w:szCs w:val="28"/>
          <w:lang w:val="vi-VN" w:eastAsia="vi-VN"/>
        </w:rPr>
      </w:r>
    </w:p>
    <w:p>
      <w:pPr>
        <w:pStyle w:val="928"/>
        <w:pBdr/>
        <w:spacing w:after="0" w:afterAutospacing="0" w:before="120" w:beforeAutospacing="0"/>
        <w:ind w:firstLine="709"/>
        <w:jc w:val="both"/>
        <w:rPr>
          <w:iCs/>
          <w:spacing w:val="-4"/>
          <w:sz w:val="28"/>
          <w:szCs w:val="28"/>
          <w:lang w:val="vi-VN" w:eastAsia="vi-VN"/>
        </w:rPr>
      </w:pPr>
      <w:r>
        <w:rPr>
          <w:iCs/>
          <w:spacing w:val="-4"/>
          <w:sz w:val="28"/>
          <w:szCs w:val="28"/>
          <w:lang w:val="vi-VN" w:eastAsia="vi-VN"/>
        </w:rPr>
        <w:tab/>
      </w:r>
      <w:r>
        <w:rPr>
          <w:iCs/>
          <w:spacing w:val="-4"/>
          <w:sz w:val="28"/>
          <w:szCs w:val="28"/>
          <w:lang w:val="vi-VN" w:eastAsia="vi-VN"/>
        </w:rPr>
        <w:t xml:space="preserve">a) </w:t>
      </w:r>
      <w:r>
        <w:rPr>
          <w:iCs/>
          <w:spacing w:val="-4"/>
          <w:sz w:val="28"/>
          <w:szCs w:val="28"/>
          <w:lang w:val="vi-VN" w:eastAsia="vi-VN"/>
        </w:rPr>
        <w:t xml:space="preserve">Các địa phương sản xuất lúa với đất chuyên trồng lúa; đất trồng lúa còn lại và đất chuyên trồng lúa tại vùng quy hoạch trồng l</w:t>
      </w:r>
      <w:r>
        <w:rPr>
          <w:iCs/>
          <w:spacing w:val="-4"/>
          <w:sz w:val="28"/>
          <w:szCs w:val="28"/>
          <w:lang w:val="vi-VN" w:eastAsia="vi-VN"/>
        </w:rPr>
        <w:t xml:space="preserve">úa có năng suất, chất lượng cao.</w:t>
      </w:r>
      <w:r>
        <w:rPr>
          <w:iCs/>
          <w:spacing w:val="-4"/>
          <w:sz w:val="28"/>
          <w:szCs w:val="28"/>
          <w:lang w:val="vi-VN" w:eastAsia="vi-VN"/>
        </w:rPr>
      </w:r>
      <w:r>
        <w:rPr>
          <w:iCs/>
          <w:spacing w:val="-4"/>
          <w:sz w:val="28"/>
          <w:szCs w:val="28"/>
          <w:lang w:val="vi-VN" w:eastAsia="vi-VN"/>
        </w:rPr>
      </w:r>
    </w:p>
    <w:p>
      <w:pPr>
        <w:pStyle w:val="928"/>
        <w:pBdr/>
        <w:shd w:val="clear" w:color="auto" w:fill="ffffff"/>
        <w:spacing w:after="0" w:afterAutospacing="0" w:before="120" w:beforeAutospacing="0"/>
        <w:ind w:firstLine="709"/>
        <w:jc w:val="both"/>
        <w:rPr>
          <w:iCs/>
          <w:sz w:val="28"/>
          <w:szCs w:val="28"/>
          <w:lang w:val="vi-VN" w:eastAsia="vi-VN"/>
        </w:rPr>
      </w:pPr>
      <w:r>
        <w:rPr>
          <w:iCs/>
          <w:sz w:val="28"/>
          <w:szCs w:val="28"/>
          <w:lang w:val="vi-VN" w:eastAsia="vi-VN"/>
        </w:rPr>
        <w:t xml:space="preserve">b) Các hộ gia đình, cá nhân, tổ chức được cơ quan có thẩm quyền giao, </w:t>
      </w:r>
      <w:r>
        <w:rPr>
          <w:iCs/>
          <w:sz w:val="28"/>
          <w:szCs w:val="28"/>
          <w:lang w:val="vi-VN" w:eastAsia="vi-VN"/>
        </w:rPr>
        <w:t xml:space="preserve">cho </w:t>
      </w:r>
      <w:r>
        <w:rPr>
          <w:iCs/>
          <w:sz w:val="28"/>
          <w:szCs w:val="28"/>
          <w:lang w:val="vi-VN" w:eastAsia="vi-VN"/>
        </w:rPr>
        <w:t xml:space="preserve">thuê đất trồng lúa sản xuất ổn định, trực tiếp tham gia sản xuất</w:t>
      </w:r>
      <w:r>
        <w:rPr>
          <w:iCs/>
          <w:sz w:val="28"/>
          <w:szCs w:val="28"/>
          <w:lang w:val="vi-VN" w:eastAsia="vi-VN"/>
        </w:rPr>
        <w:t xml:space="preserve">.</w:t>
      </w:r>
      <w:r>
        <w:rPr>
          <w:iCs/>
          <w:sz w:val="28"/>
          <w:szCs w:val="28"/>
          <w:lang w:val="vi-VN" w:eastAsia="vi-VN"/>
        </w:rPr>
      </w:r>
      <w:r>
        <w:rPr>
          <w:iCs/>
          <w:sz w:val="28"/>
          <w:szCs w:val="28"/>
          <w:lang w:val="vi-VN" w:eastAsia="vi-VN"/>
        </w:rPr>
      </w:r>
    </w:p>
    <w:p>
      <w:pPr>
        <w:pStyle w:val="928"/>
        <w:pBdr/>
        <w:shd w:val="clear" w:color="auto" w:fill="ffffff"/>
        <w:spacing w:after="0" w:afterAutospacing="0" w:before="120" w:beforeAutospacing="0"/>
        <w:ind w:firstLine="709"/>
        <w:jc w:val="both"/>
        <w:rPr>
          <w:b/>
          <w:bCs/>
          <w:iCs/>
          <w:sz w:val="28"/>
          <w:szCs w:val="28"/>
          <w:lang w:val="vi-VN" w:eastAsia="vi-VN"/>
        </w:rPr>
      </w:pPr>
      <w:r>
        <w:rPr>
          <w:b/>
          <w:bCs/>
          <w:iCs/>
          <w:sz w:val="28"/>
          <w:szCs w:val="28"/>
          <w:lang w:val="vi-VN" w:eastAsia="vi-VN"/>
        </w:rPr>
        <w:t xml:space="preserve">3. Các hoạt động hỗ trợ</w:t>
      </w:r>
      <w:r>
        <w:rPr>
          <w:b/>
          <w:bCs/>
          <w:iCs/>
          <w:sz w:val="28"/>
          <w:szCs w:val="28"/>
          <w:lang w:val="vi-VN" w:eastAsia="vi-VN"/>
        </w:rPr>
      </w:r>
      <w:r>
        <w:rPr>
          <w:b/>
          <w:bCs/>
          <w:iCs/>
          <w:sz w:val="28"/>
          <w:szCs w:val="28"/>
          <w:lang w:val="vi-VN" w:eastAsia="vi-VN"/>
        </w:rPr>
      </w:r>
    </w:p>
    <w:p>
      <w:pPr>
        <w:pStyle w:val="928"/>
        <w:pBdr/>
        <w:shd w:val="clear" w:color="auto" w:fill="ffffff"/>
        <w:spacing w:after="0" w:afterAutospacing="0" w:before="120" w:beforeAutospacing="0"/>
        <w:ind w:firstLine="709"/>
        <w:jc w:val="both"/>
        <w:rPr>
          <w:sz w:val="28"/>
          <w:szCs w:val="28"/>
          <w:lang w:val="vi-VN"/>
        </w:rPr>
      </w:pPr>
      <w:r>
        <w:rPr>
          <w:sz w:val="28"/>
          <w:szCs w:val="28"/>
          <w:lang w:val="vi-VN"/>
        </w:rPr>
        <w:tab/>
        <w:t xml:space="preserve">a) Hỗ trợ cho người sử dụng đất trồng lúa: sử dụng giống lúa hợp pháp để sản xuất; áp dụng quy trình sản xuất, tiến bộ kỹ thuật, công nghệ được cơ quan nhà nước có thẩm quyền công nhận;</w:t>
      </w:r>
      <w:r>
        <w:rPr>
          <w:sz w:val="28"/>
          <w:szCs w:val="28"/>
          <w:lang w:val="vi-VN"/>
        </w:rPr>
      </w:r>
      <w:r>
        <w:rPr>
          <w:sz w:val="28"/>
          <w:szCs w:val="28"/>
          <w:lang w:val="vi-VN"/>
        </w:rPr>
      </w:r>
    </w:p>
    <w:p>
      <w:pPr>
        <w:pStyle w:val="928"/>
        <w:pBdr/>
        <w:shd w:val="clear" w:color="auto" w:fill="ffffff"/>
        <w:spacing w:after="0" w:afterAutospacing="0" w:before="120" w:beforeAutospacing="0"/>
        <w:ind w:firstLine="709"/>
        <w:jc w:val="both"/>
        <w:rPr>
          <w:sz w:val="28"/>
          <w:szCs w:val="28"/>
          <w:lang w:val="vi-VN"/>
        </w:rPr>
      </w:pPr>
      <w:r>
        <w:rPr>
          <w:sz w:val="28"/>
          <w:szCs w:val="28"/>
          <w:lang w:val="vi-VN"/>
        </w:rPr>
        <w:tab/>
        <w:t xml:space="preserve">b) Hỗ trợ cho người sử dụng đất trồng lúa thực hiện, tham gia: xây dựng mô hình trình diễn; hoạt động khuyến nông; tổ chức đào tạo, tập huấn, liên kết sản xuất, tiêu thụ sản phẩm;</w:t>
      </w:r>
      <w:r>
        <w:rPr>
          <w:sz w:val="28"/>
          <w:szCs w:val="28"/>
          <w:lang w:val="vi-VN"/>
        </w:rPr>
      </w:r>
      <w:r>
        <w:rPr>
          <w:sz w:val="28"/>
          <w:szCs w:val="28"/>
          <w:lang w:val="vi-VN"/>
        </w:rPr>
      </w:r>
    </w:p>
    <w:p>
      <w:pPr>
        <w:pStyle w:val="928"/>
        <w:pBdr/>
        <w:shd w:val="clear" w:color="auto" w:fill="ffffff"/>
        <w:spacing w:after="0" w:afterAutospacing="0" w:before="120" w:beforeAutospacing="0"/>
        <w:ind w:firstLine="709"/>
        <w:jc w:val="both"/>
        <w:rPr>
          <w:sz w:val="28"/>
          <w:szCs w:val="28"/>
          <w:lang w:val="vi-VN"/>
        </w:rPr>
      </w:pPr>
      <w:r>
        <w:rPr>
          <w:sz w:val="28"/>
          <w:szCs w:val="28"/>
          <w:lang w:val="vi-VN"/>
        </w:rPr>
        <w:tab/>
        <w:t xml:space="preserve">c) Cải tạo, nâng cao chất lượng đất trồng lúa;</w:t>
      </w:r>
      <w:r>
        <w:rPr>
          <w:sz w:val="28"/>
          <w:szCs w:val="28"/>
          <w:lang w:val="vi-VN"/>
        </w:rPr>
      </w:r>
      <w:r>
        <w:rPr>
          <w:sz w:val="28"/>
          <w:szCs w:val="28"/>
          <w:lang w:val="vi-VN"/>
        </w:rPr>
      </w:r>
    </w:p>
    <w:p>
      <w:pPr>
        <w:pStyle w:val="928"/>
        <w:pBdr/>
        <w:shd w:val="clear" w:color="auto" w:fill="ffffff"/>
        <w:spacing w:after="0" w:afterAutospacing="0" w:before="120" w:beforeAutospacing="0"/>
        <w:ind w:firstLine="709"/>
        <w:jc w:val="both"/>
        <w:rPr>
          <w:sz w:val="28"/>
          <w:szCs w:val="28"/>
          <w:lang w:val="vi-VN"/>
        </w:rPr>
      </w:pPr>
      <w:r>
        <w:rPr>
          <w:sz w:val="28"/>
          <w:szCs w:val="28"/>
          <w:lang w:val="vi-VN"/>
        </w:rPr>
        <w:tab/>
        <w:t xml:space="preserve">d) Đánh giá tính chất lý, hóa học; xây dựng bản đồ nông hóa thổ nhưỡng vùng đất chuyên trồng lúa theo định kỳ 05 năm/lần;</w:t>
      </w:r>
      <w:r>
        <w:rPr>
          <w:sz w:val="28"/>
          <w:szCs w:val="28"/>
          <w:lang w:val="vi-VN"/>
        </w:rPr>
      </w:r>
      <w:r>
        <w:rPr>
          <w:sz w:val="28"/>
          <w:szCs w:val="28"/>
          <w:lang w:val="vi-VN"/>
        </w:rPr>
      </w:r>
    </w:p>
    <w:p>
      <w:pPr>
        <w:pStyle w:val="928"/>
        <w:pBdr/>
        <w:shd w:val="clear" w:color="auto" w:fill="ffffff"/>
        <w:spacing w:after="0" w:afterAutospacing="0" w:before="120" w:beforeAutospacing="0"/>
        <w:ind w:firstLine="709"/>
        <w:jc w:val="both"/>
        <w:rPr>
          <w:sz w:val="28"/>
          <w:szCs w:val="28"/>
        </w:rPr>
      </w:pPr>
      <w:r>
        <w:rPr>
          <w:sz w:val="28"/>
          <w:szCs w:val="28"/>
          <w:lang w:val="vi-VN"/>
        </w:rPr>
        <w:tab/>
        <w:t xml:space="preserve">đ) Sửa chữa, duy tu bảo dưỡng các công trình hạ tầng nông ng</w:t>
      </w:r>
      <w:r>
        <w:rPr>
          <w:sz w:val="28"/>
          <w:szCs w:val="28"/>
          <w:lang w:val="vi-VN"/>
        </w:rPr>
        <w:t xml:space="preserve">hiệp, nông thôn trên địa bàn</w:t>
      </w:r>
      <w:r>
        <w:rPr>
          <w:sz w:val="28"/>
          <w:szCs w:val="28"/>
        </w:rPr>
        <w:t xml:space="preserve"> cấp</w:t>
      </w:r>
      <w:r>
        <w:rPr>
          <w:sz w:val="28"/>
          <w:szCs w:val="28"/>
          <w:lang w:val="vi-VN"/>
        </w:rPr>
        <w:t xml:space="preserve"> xã</w:t>
      </w:r>
      <w:r>
        <w:rPr>
          <w:sz w:val="28"/>
          <w:szCs w:val="28"/>
        </w:rPr>
        <w:t xml:space="preserve">;</w:t>
      </w:r>
      <w:r>
        <w:rPr>
          <w:sz w:val="28"/>
          <w:szCs w:val="28"/>
        </w:rPr>
      </w:r>
      <w:r>
        <w:rPr>
          <w:sz w:val="28"/>
          <w:szCs w:val="28"/>
        </w:rPr>
      </w:r>
    </w:p>
    <w:p>
      <w:pPr>
        <w:pStyle w:val="928"/>
        <w:pBdr/>
        <w:shd w:val="clear" w:color="auto" w:fill="ffffff"/>
        <w:spacing w:after="0" w:afterAutospacing="0" w:before="120" w:beforeAutospacing="0"/>
        <w:ind w:firstLine="709"/>
        <w:jc w:val="both"/>
        <w:rPr>
          <w:iCs/>
          <w:sz w:val="28"/>
          <w:szCs w:val="28"/>
          <w:lang w:val="vi-VN" w:eastAsia="vi-VN"/>
        </w:rPr>
      </w:pPr>
      <w:r>
        <w:rPr>
          <w:sz w:val="28"/>
          <w:szCs w:val="28"/>
          <w:lang w:val="vi-VN"/>
        </w:rPr>
        <w:tab/>
        <w:t xml:space="preserve">e) Hỗ trợ mua bản quyền sở hữu giống lúa được bảo hộ.</w:t>
      </w:r>
      <w:r>
        <w:rPr>
          <w:iCs/>
          <w:sz w:val="28"/>
          <w:szCs w:val="28"/>
          <w:lang w:val="vi-VN" w:eastAsia="vi-VN"/>
        </w:rPr>
      </w:r>
      <w:r>
        <w:rPr>
          <w:iCs/>
          <w:sz w:val="28"/>
          <w:szCs w:val="28"/>
          <w:lang w:val="vi-VN" w:eastAsia="vi-VN"/>
        </w:rPr>
      </w:r>
    </w:p>
    <w:p>
      <w:pPr>
        <w:pStyle w:val="928"/>
        <w:pBdr/>
        <w:shd w:val="clear" w:color="auto" w:fill="ffffff"/>
        <w:spacing w:after="0" w:afterAutospacing="0" w:before="120" w:beforeAutospacing="0"/>
        <w:ind w:firstLine="709"/>
        <w:jc w:val="both"/>
        <w:rPr>
          <w:b/>
          <w:sz w:val="28"/>
          <w:szCs w:val="28"/>
          <w:lang w:val="vi-VN"/>
        </w:rPr>
      </w:pPr>
      <w:r>
        <w:rPr>
          <w:b/>
          <w:sz w:val="28"/>
          <w:szCs w:val="28"/>
          <w:lang w:val="vi-VN"/>
        </w:rPr>
        <w:t xml:space="preserve">Điều </w:t>
      </w:r>
      <w:r>
        <w:rPr>
          <w:b/>
          <w:sz w:val="28"/>
          <w:szCs w:val="28"/>
          <w:lang w:val="vi-VN"/>
        </w:rPr>
        <w:t xml:space="preserve">4</w:t>
      </w:r>
      <w:r>
        <w:rPr>
          <w:b/>
          <w:sz w:val="28"/>
          <w:szCs w:val="28"/>
          <w:lang w:val="vi-VN"/>
        </w:rPr>
        <w:t xml:space="preserve">. </w:t>
      </w:r>
      <w:r>
        <w:rPr>
          <w:b/>
          <w:sz w:val="28"/>
          <w:szCs w:val="28"/>
          <w:lang w:val="vi-VN"/>
        </w:rPr>
        <w:t xml:space="preserve">Định mức </w:t>
      </w:r>
      <w:r>
        <w:rPr>
          <w:b/>
          <w:sz w:val="28"/>
          <w:szCs w:val="28"/>
          <w:lang w:val="vi-VN"/>
        </w:rPr>
        <w:t xml:space="preserve">hỗ trợ</w:t>
      </w:r>
      <w:r>
        <w:rPr>
          <w:b/>
          <w:sz w:val="28"/>
          <w:szCs w:val="28"/>
          <w:lang w:val="vi-VN"/>
        </w:rPr>
      </w:r>
      <w:r>
        <w:rPr>
          <w:b/>
          <w:sz w:val="28"/>
          <w:szCs w:val="28"/>
          <w:lang w:val="vi-VN"/>
        </w:rPr>
      </w:r>
    </w:p>
    <w:p>
      <w:pPr>
        <w:pStyle w:val="928"/>
        <w:pBdr/>
        <w:spacing w:after="0" w:afterAutospacing="0" w:before="120" w:beforeAutospacing="0"/>
        <w:ind w:firstLine="709"/>
        <w:jc w:val="both"/>
        <w:rPr>
          <w:sz w:val="28"/>
          <w:szCs w:val="28"/>
          <w:lang w:val="vi-VN"/>
        </w:rPr>
      </w:pPr>
      <w:r/>
      <w:bookmarkStart w:id="6" w:name="_Hlk229560108"/>
      <w:r>
        <w:rPr>
          <w:sz w:val="28"/>
          <w:szCs w:val="28"/>
          <w:lang w:val="vi-VN" w:eastAsia="en-GB"/>
        </w:rPr>
        <w:t xml:space="preserve">Trên cơ sở tổng số thu tiền bảo vệ đất trồng lúa do người được </w:t>
      </w:r>
      <w:r>
        <w:rPr>
          <w:sz w:val="28"/>
          <w:szCs w:val="28"/>
          <w:lang w:eastAsia="en-GB"/>
        </w:rPr>
        <w:t xml:space="preserve">N</w:t>
      </w:r>
      <w:r>
        <w:rPr>
          <w:sz w:val="28"/>
          <w:szCs w:val="28"/>
          <w:lang w:val="vi-VN" w:eastAsia="en-GB"/>
        </w:rPr>
        <w:t xml:space="preserve">hà nước giao đất</w:t>
      </w:r>
      <w:r>
        <w:rPr>
          <w:sz w:val="28"/>
          <w:szCs w:val="28"/>
          <w:lang w:val="vi-VN"/>
        </w:rPr>
        <w:t xml:space="preserve">, cho thuê đất để sử dụng vào mục đích phi nông nghiệp từ đất chuyên trồng lúa phải nộp và nguồn kinh </w:t>
      </w:r>
      <w:r>
        <w:rPr>
          <w:sz w:val="28"/>
          <w:szCs w:val="28"/>
          <w:lang w:val="vi-VN"/>
        </w:rPr>
        <w:t xml:space="preserve">phí ngân sách nhà nước hỗ trợ sản xuất lúa trong dự toán chi cân đối ngân sách địa phương theo quy định tại khoản 1 Điều 14 Nghị định số 112/2024/NĐ-CP, hỗ trợ cho ngân sách cấp tỉnh và ngân sách các xã, phường để thực hiện các hoạt động theo quy định tại </w:t>
      </w:r>
      <w:r>
        <w:rPr>
          <w:sz w:val="28"/>
          <w:szCs w:val="28"/>
          <w:lang w:val="vi-VN"/>
        </w:rPr>
        <w:t xml:space="preserve">khoản 3 Điều 3 của Nghị quyết này</w:t>
      </w:r>
      <w:r>
        <w:rPr>
          <w:sz w:val="28"/>
          <w:szCs w:val="28"/>
          <w:lang w:val="vi-VN"/>
        </w:rPr>
        <w:t xml:space="preserve"> trên địa bàn tỉnh Tây Ninh, cụ thể như sau:</w:t>
      </w:r>
      <w:r>
        <w:rPr>
          <w:sz w:val="28"/>
          <w:szCs w:val="28"/>
          <w:lang w:val="vi-VN"/>
        </w:rPr>
      </w:r>
      <w:r>
        <w:rPr>
          <w:sz w:val="28"/>
          <w:szCs w:val="28"/>
          <w:lang w:val="vi-VN"/>
        </w:rPr>
      </w:r>
    </w:p>
    <w:p>
      <w:pPr>
        <w:pStyle w:val="928"/>
        <w:pBdr/>
        <w:spacing w:after="0" w:afterAutospacing="0" w:before="120" w:beforeAutospacing="0"/>
        <w:ind w:firstLine="709"/>
        <w:jc w:val="both"/>
        <w:rPr>
          <w:sz w:val="28"/>
          <w:szCs w:val="28"/>
          <w:lang w:val="vi-VN"/>
        </w:rPr>
      </w:pPr>
      <w:r>
        <w:rPr>
          <w:b/>
          <w:sz w:val="28"/>
          <w:szCs w:val="28"/>
          <w:lang w:val="vi-VN"/>
        </w:rPr>
        <w:t xml:space="preserve">1.</w:t>
      </w:r>
      <w:r>
        <w:rPr>
          <w:sz w:val="28"/>
          <w:szCs w:val="28"/>
          <w:lang w:val="vi-VN"/>
        </w:rPr>
        <w:t xml:space="preserve"> Hỗ trợ cho ngân sách cấp tỉnh 30% trên tổng nguồn kinh phí</w:t>
      </w:r>
      <w:r>
        <w:rPr>
          <w:sz w:val="28"/>
          <w:szCs w:val="28"/>
        </w:rPr>
        <w:t xml:space="preserve"> để thực hiện các hoạt động hỗ trợ tại khoản 3 Điều 3 của Nghị quyết này</w:t>
      </w:r>
      <w:r>
        <w:rPr>
          <w:sz w:val="28"/>
          <w:szCs w:val="28"/>
          <w:lang w:val="vi-VN"/>
        </w:rPr>
        <w:t xml:space="preserve">;</w:t>
      </w:r>
      <w:r>
        <w:rPr>
          <w:sz w:val="28"/>
          <w:szCs w:val="28"/>
          <w:lang w:val="vi-VN"/>
        </w:rPr>
      </w:r>
      <w:r>
        <w:rPr>
          <w:sz w:val="28"/>
          <w:szCs w:val="28"/>
          <w:lang w:val="vi-VN"/>
        </w:rPr>
      </w:r>
    </w:p>
    <w:p>
      <w:pPr>
        <w:pStyle w:val="928"/>
        <w:pBdr/>
        <w:spacing w:after="0" w:afterAutospacing="0" w:before="120" w:beforeAutospacing="0"/>
        <w:ind w:firstLine="709"/>
        <w:jc w:val="both"/>
        <w:rPr>
          <w:sz w:val="28"/>
          <w:szCs w:val="28"/>
          <w:lang w:val="vi-VN"/>
        </w:rPr>
      </w:pPr>
      <w:r>
        <w:rPr>
          <w:b/>
          <w:sz w:val="28"/>
          <w:szCs w:val="28"/>
          <w:lang w:val="vi-VN"/>
        </w:rPr>
        <w:t xml:space="preserve">2.</w:t>
      </w:r>
      <w:r>
        <w:rPr>
          <w:sz w:val="28"/>
          <w:szCs w:val="28"/>
          <w:lang w:val="vi-VN"/>
        </w:rPr>
        <w:t xml:space="preserve"> Phần kin</w:t>
      </w:r>
      <w:r>
        <w:rPr>
          <w:sz w:val="28"/>
          <w:szCs w:val="28"/>
          <w:lang w:val="vi-VN"/>
        </w:rPr>
        <w:t xml:space="preserve">h phí còn lại 70% (được quy đổi thành 100%) hỗ trợ cho ngân sách các xã, phường tương ứng theo diện tích đất trồng lúa được phê duyệt hàng năm theo Điều 14 Nghị định số 112/2024/NĐ-CP để thực hiện các hoạt động hỗ trợ tại khoản 3 Điều 3 của Nghị quyết này.</w:t>
      </w:r>
      <w:r>
        <w:rPr>
          <w:sz w:val="28"/>
          <w:szCs w:val="28"/>
          <w:lang w:val="vi-VN"/>
        </w:rPr>
      </w:r>
      <w:r>
        <w:rPr>
          <w:sz w:val="28"/>
          <w:szCs w:val="28"/>
          <w:lang w:val="vi-VN"/>
        </w:rPr>
      </w:r>
    </w:p>
    <w:p>
      <w:pPr>
        <w:pStyle w:val="928"/>
        <w:pBdr/>
        <w:spacing w:after="0" w:afterAutospacing="0" w:before="120" w:beforeAutospacing="0"/>
        <w:ind w:firstLine="709"/>
        <w:rPr>
          <w:b/>
          <w:bCs/>
          <w:sz w:val="28"/>
          <w:szCs w:val="28"/>
          <w:lang w:val="vi-VN"/>
        </w:rPr>
      </w:pPr>
      <w:r>
        <w:rPr>
          <w:b/>
          <w:bCs/>
          <w:sz w:val="28"/>
          <w:szCs w:val="28"/>
          <w:lang w:val="vi-VN"/>
        </w:rPr>
        <w:t xml:space="preserve">Điều 5. Sử dụng kinh phí hỗ trợ</w:t>
      </w:r>
      <w:r>
        <w:rPr>
          <w:b/>
          <w:bCs/>
          <w:sz w:val="28"/>
          <w:szCs w:val="28"/>
          <w:lang w:val="vi-VN"/>
        </w:rPr>
      </w:r>
      <w:r>
        <w:rPr>
          <w:b/>
          <w:bCs/>
          <w:sz w:val="28"/>
          <w:szCs w:val="28"/>
          <w:lang w:val="vi-VN"/>
        </w:rPr>
      </w:r>
    </w:p>
    <w:p>
      <w:pPr>
        <w:pStyle w:val="928"/>
        <w:pBdr/>
        <w:spacing w:after="0" w:afterAutospacing="0" w:before="120" w:beforeAutospacing="0"/>
        <w:ind w:firstLine="709"/>
        <w:jc w:val="both"/>
        <w:rPr>
          <w:sz w:val="28"/>
          <w:szCs w:val="28"/>
          <w:lang w:val="vi-VN"/>
        </w:rPr>
      </w:pPr>
      <w:r>
        <w:rPr>
          <w:b/>
          <w:sz w:val="28"/>
          <w:szCs w:val="28"/>
          <w:lang w:val="vi-VN"/>
        </w:rPr>
        <w:t xml:space="preserve">1.</w:t>
      </w:r>
      <w:r>
        <w:rPr>
          <w:sz w:val="28"/>
          <w:szCs w:val="28"/>
          <w:lang w:val="vi-VN"/>
        </w:rPr>
        <w:t xml:space="preserve"> </w:t>
      </w:r>
      <w:r>
        <w:rPr>
          <w:bCs/>
          <w:sz w:val="28"/>
          <w:szCs w:val="28"/>
          <w:lang w:val="vi-VN"/>
        </w:rPr>
        <w:t xml:space="preserve">Sử dụng kinh phí hỗ trợ đối với các hoạt động quy định tại điểm a và b khoản 3 Điều 3 của Nghị quyết</w:t>
      </w:r>
      <w:r>
        <w:rPr>
          <w:sz w:val="28"/>
          <w:szCs w:val="28"/>
          <w:lang w:val="vi-VN"/>
        </w:rPr>
        <w:t xml:space="preserve">: </w:t>
      </w:r>
      <w:r>
        <w:rPr>
          <w:sz w:val="28"/>
          <w:szCs w:val="28"/>
          <w:lang w:val="vi-VN"/>
        </w:rPr>
      </w:r>
      <w:r>
        <w:rPr>
          <w:sz w:val="28"/>
          <w:szCs w:val="28"/>
          <w:lang w:val="vi-VN"/>
        </w:rPr>
      </w:r>
    </w:p>
    <w:p>
      <w:pPr>
        <w:pStyle w:val="928"/>
        <w:pBdr/>
        <w:spacing w:after="0" w:afterAutospacing="0" w:before="120" w:beforeAutospacing="0"/>
        <w:ind w:firstLine="709"/>
        <w:jc w:val="both"/>
        <w:rPr>
          <w:sz w:val="28"/>
          <w:szCs w:val="28"/>
          <w:lang w:val="vi-VN"/>
        </w:rPr>
      </w:pPr>
      <w:r>
        <w:rPr>
          <w:sz w:val="28"/>
          <w:szCs w:val="28"/>
          <w:lang w:val="vi-VN"/>
        </w:rPr>
        <w:t xml:space="preserve">a) </w:t>
      </w:r>
      <w:r>
        <w:rPr>
          <w:bCs/>
          <w:sz w:val="28"/>
          <w:szCs w:val="28"/>
          <w:lang w:val="vi-VN"/>
        </w:rPr>
        <w:t xml:space="preserve">S</w:t>
      </w:r>
      <w:r>
        <w:rPr>
          <w:sz w:val="28"/>
          <w:szCs w:val="28"/>
          <w:lang w:val="vi-VN"/>
        </w:rPr>
        <w:t xml:space="preserve">ử dụng giống lúa hợp pháp để sản xuất; áp dụng quy trình sản xuất, tiến bộ kỹ thuật, công nghệ được cơ quan nhà nước có thẩm quyền công nhận; xây dựng mô hình trình diễn, hoạt động khuyến nông, tổ chức đào tạo, tập huấn: </w:t>
      </w:r>
      <w:r>
        <w:rPr>
          <w:bCs/>
          <w:sz w:val="28"/>
          <w:szCs w:val="28"/>
          <w:lang w:val="vi-VN"/>
        </w:rPr>
        <w:t xml:space="preserve">thực hiện theo quy định tại</w:t>
      </w:r>
      <w:r>
        <w:rPr>
          <w:bCs/>
          <w:sz w:val="28"/>
          <w:szCs w:val="28"/>
          <w:lang w:val="vi-VN"/>
        </w:rPr>
        <w:t xml:space="preserve"> Điều 1</w:t>
      </w:r>
      <w:r>
        <w:rPr>
          <w:bCs/>
          <w:sz w:val="28"/>
          <w:szCs w:val="28"/>
          <w:lang w:val="vi-VN"/>
        </w:rPr>
        <w:t xml:space="preserve"> Nghị quyết số </w:t>
      </w:r>
      <w:hyperlink r:id="rId11" w:tooltip="02/2020/NQ-HĐND" w:history="1">
        <w:r>
          <w:rPr>
            <w:rStyle w:val="952"/>
            <w:color w:val="auto"/>
            <w:sz w:val="28"/>
            <w:szCs w:val="28"/>
            <w:u w:val="none"/>
            <w:lang w:val="vi-VN"/>
          </w:rPr>
          <w:t xml:space="preserve">34</w:t>
        </w:r>
        <w:r>
          <w:rPr>
            <w:rStyle w:val="952"/>
            <w:bCs/>
            <w:color w:val="auto"/>
            <w:sz w:val="28"/>
            <w:szCs w:val="28"/>
            <w:u w:val="none"/>
            <w:lang w:val="vi-VN"/>
          </w:rPr>
          <w:t xml:space="preserve">/2025/NQ-HĐND</w:t>
        </w:r>
      </w:hyperlink>
      <w:r>
        <w:rPr>
          <w:bCs/>
          <w:sz w:val="28"/>
          <w:szCs w:val="28"/>
          <w:lang w:val="vi-VN"/>
        </w:rPr>
        <w:t xml:space="preserve"> ngày 10/12/2025 </w:t>
      </w:r>
      <w:r>
        <w:rPr>
          <w:bCs/>
          <w:sz w:val="28"/>
          <w:szCs w:val="28"/>
          <w:lang w:val="vi-VN"/>
        </w:rPr>
        <w:t xml:space="preserve">của HĐND tỉnh Tây Ninh quy định nội dung chi, mức hỗ trợ cho các hoạt động khuyến nông trên địa bàn tỉnh Tây Ninh</w:t>
      </w:r>
      <w:r>
        <w:rPr>
          <w:sz w:val="28"/>
          <w:szCs w:val="28"/>
          <w:lang w:val="vi-VN"/>
        </w:rPr>
        <w:t xml:space="preserve">.</w:t>
      </w:r>
      <w:r>
        <w:rPr>
          <w:sz w:val="28"/>
          <w:szCs w:val="28"/>
          <w:lang w:val="vi-VN"/>
        </w:rPr>
      </w:r>
      <w:r>
        <w:rPr>
          <w:sz w:val="28"/>
          <w:szCs w:val="28"/>
          <w:lang w:val="vi-VN"/>
        </w:rPr>
      </w:r>
    </w:p>
    <w:p>
      <w:pPr>
        <w:pStyle w:val="928"/>
        <w:pBdr/>
        <w:spacing w:after="0" w:afterAutospacing="0" w:before="120" w:beforeAutospacing="0"/>
        <w:ind w:firstLine="709"/>
        <w:jc w:val="both"/>
        <w:rPr>
          <w:bCs/>
          <w:sz w:val="28"/>
          <w:szCs w:val="28"/>
          <w:lang w:val="vi-VN"/>
        </w:rPr>
      </w:pPr>
      <w:r>
        <w:rPr>
          <w:sz w:val="28"/>
          <w:szCs w:val="28"/>
          <w:lang w:val="vi-VN"/>
        </w:rPr>
        <w:t xml:space="preserve">b) Hỗ trợ liên kết sản xuất, tiêu thụ sản phẩm: </w:t>
      </w:r>
      <w:r>
        <w:rPr>
          <w:bCs/>
          <w:sz w:val="28"/>
          <w:szCs w:val="28"/>
          <w:lang w:val="vi-VN"/>
        </w:rPr>
        <w:t xml:space="preserve">T</w:t>
      </w:r>
      <w:r>
        <w:rPr>
          <w:bCs/>
          <w:sz w:val="28"/>
          <w:szCs w:val="28"/>
          <w:lang w:val="vi-VN"/>
        </w:rPr>
        <w:t xml:space="preserve">hực hiện theo quy định tại </w:t>
      </w:r>
      <w:r>
        <w:rPr>
          <w:bCs/>
          <w:sz w:val="28"/>
          <w:szCs w:val="28"/>
          <w:lang w:val="vi-VN"/>
        </w:rPr>
        <w:t xml:space="preserve">Điều 4 </w:t>
      </w:r>
      <w:r>
        <w:rPr>
          <w:bCs/>
          <w:sz w:val="28"/>
          <w:szCs w:val="28"/>
          <w:lang w:val="vi-VN"/>
        </w:rPr>
        <w:t xml:space="preserve">Nghị quyết số 32/2025/NQ-HĐND ngày 10/12/2025 của HĐND tỉnh Tây Ninh</w:t>
      </w:r>
      <w:r>
        <w:rPr>
          <w:sz w:val="28"/>
          <w:szCs w:val="28"/>
          <w:lang w:val="vi-VN"/>
        </w:rPr>
        <w:t xml:space="preserve"> </w:t>
      </w:r>
      <w:r>
        <w:rPr>
          <w:sz w:val="28"/>
          <w:szCs w:val="28"/>
          <w:lang w:val="vi-VN"/>
        </w:rPr>
        <w:t xml:space="preserve">P</w:t>
      </w:r>
      <w:r>
        <w:rPr>
          <w:bCs/>
          <w:sz w:val="28"/>
          <w:szCs w:val="28"/>
          <w:lang w:val="vi-VN"/>
        </w:rPr>
        <w:t xml:space="preserve">hê duyệt chính sách hỗ trợ liên kết sản xuất và tiêu thụ sản phẩm nông nghiệp trên địa bàn tỉnh Tây Ninh giai đoạn 2026-2030.</w:t>
      </w:r>
      <w:r>
        <w:rPr>
          <w:bCs/>
          <w:sz w:val="28"/>
          <w:szCs w:val="28"/>
          <w:lang w:val="vi-VN"/>
        </w:rPr>
      </w:r>
      <w:r>
        <w:rPr>
          <w:bCs/>
          <w:sz w:val="28"/>
          <w:szCs w:val="28"/>
          <w:lang w:val="vi-VN"/>
        </w:rPr>
      </w:r>
    </w:p>
    <w:p>
      <w:pPr>
        <w:pStyle w:val="928"/>
        <w:pBdr/>
        <w:spacing w:after="0" w:afterAutospacing="0" w:before="120" w:beforeAutospacing="0"/>
        <w:ind w:firstLine="709"/>
        <w:jc w:val="both"/>
        <w:rPr>
          <w:sz w:val="28"/>
          <w:szCs w:val="28"/>
          <w:lang w:val="vi-VN"/>
        </w:rPr>
      </w:pPr>
      <w:r>
        <w:rPr>
          <w:b/>
          <w:sz w:val="28"/>
          <w:szCs w:val="28"/>
          <w:lang w:val="vi-VN"/>
        </w:rPr>
        <w:t xml:space="preserve">2.</w:t>
      </w:r>
      <w:r>
        <w:rPr>
          <w:sz w:val="28"/>
          <w:szCs w:val="28"/>
          <w:lang w:val="vi-VN"/>
        </w:rPr>
        <w:t xml:space="preserve"> </w:t>
      </w:r>
      <w:r>
        <w:rPr>
          <w:bCs/>
          <w:sz w:val="28"/>
          <w:szCs w:val="28"/>
          <w:lang w:val="vi-VN"/>
        </w:rPr>
        <w:t xml:space="preserve">Hỗ trợ 100% kinh phí thực hiện đối với các hoạt động quy định tại điểm c và d khoản 3 Điều 3 của Nghị quyết</w:t>
      </w:r>
      <w:r>
        <w:rPr>
          <w:sz w:val="28"/>
          <w:szCs w:val="28"/>
          <w:lang w:val="vi-VN"/>
        </w:rPr>
      </w:r>
      <w:r>
        <w:rPr>
          <w:sz w:val="28"/>
          <w:szCs w:val="28"/>
          <w:lang w:val="vi-VN"/>
        </w:rPr>
      </w:r>
    </w:p>
    <w:p>
      <w:pPr>
        <w:pStyle w:val="928"/>
        <w:pBdr/>
        <w:spacing w:after="0" w:afterAutospacing="0" w:before="120" w:beforeAutospacing="0"/>
        <w:ind w:firstLine="709"/>
        <w:jc w:val="both"/>
        <w:rPr>
          <w:sz w:val="28"/>
          <w:szCs w:val="28"/>
          <w:lang w:val="vi-VN"/>
        </w:rPr>
      </w:pPr>
      <w:r>
        <w:rPr>
          <w:sz w:val="28"/>
          <w:szCs w:val="28"/>
          <w:lang w:val="vi-VN"/>
        </w:rPr>
        <w:t xml:space="preserve">Yêu cầu k</w:t>
      </w:r>
      <w:r>
        <w:rPr>
          <w:sz w:val="28"/>
          <w:szCs w:val="28"/>
          <w:lang w:val="vi-VN"/>
        </w:rPr>
        <w:t xml:space="preserve">ỹ thuật, khối lượng công vi</w:t>
      </w:r>
      <w:r>
        <w:rPr>
          <w:sz w:val="28"/>
          <w:szCs w:val="28"/>
          <w:lang w:val="vi-VN"/>
        </w:rPr>
        <w:t xml:space="preserve">ệc điều tra, đánh giá, cải tạo, phục hồi đất làm cơ sở để lập dự toán kinh phí thực hiện theo quy định tại Chương II, III, IV Thông tư số 11/2024/TT-BTNMT ngày 31/7/2024 của Bộ Tài nguyên và Môi trường quy định kỹ thuật điều tra, đánh giá đất đai; kỹ thuật</w:t>
      </w:r>
      <w:r>
        <w:rPr>
          <w:sz w:val="28"/>
          <w:szCs w:val="28"/>
          <w:lang w:val="vi-VN"/>
        </w:rPr>
        <w:t xml:space="preserve"> bảo vệ, cải tạo, phục hồi đất, </w:t>
      </w:r>
      <w:r>
        <w:rPr>
          <w:sz w:val="28"/>
          <w:szCs w:val="28"/>
          <w:lang w:val="vi-VN"/>
        </w:rPr>
        <w:t xml:space="preserve">được sửa đổi, bổ sung bởi Thông tư số 23/2025/TT-BNNMT ngày 20/6/2025 của Bộ trưởng Bộ Nông nghiệp và Môi trường</w:t>
      </w:r>
      <w:r>
        <w:rPr>
          <w:sz w:val="28"/>
          <w:szCs w:val="28"/>
          <w:shd w:val="clear" w:color="auto" w:fill="ffffff"/>
          <w:lang w:val="vi-VN"/>
        </w:rPr>
        <w:t xml:space="preserve"> </w:t>
      </w:r>
      <w:r>
        <w:rPr>
          <w:sz w:val="28"/>
          <w:szCs w:val="28"/>
          <w:lang w:val="vi-VN"/>
        </w:rPr>
        <w:t xml:space="preserve">quy định phân cấp, phân định thẩm quyền quản lý nhà nước trong lĩnh vực đất đai</w:t>
      </w:r>
      <w:r>
        <w:rPr>
          <w:sz w:val="28"/>
          <w:szCs w:val="28"/>
          <w:lang w:val="vi-VN"/>
        </w:rPr>
        <w:t xml:space="preserve">.</w:t>
      </w:r>
      <w:r>
        <w:rPr>
          <w:sz w:val="28"/>
          <w:szCs w:val="28"/>
          <w:lang w:val="vi-VN"/>
        </w:rPr>
        <w:t xml:space="preserve"> K</w:t>
      </w:r>
      <w:r>
        <w:rPr>
          <w:bCs/>
          <w:sz w:val="28"/>
          <w:szCs w:val="28"/>
          <w:lang w:val="vi-VN"/>
        </w:rPr>
        <w:t xml:space="preserve">ỹ thuật bảo vệ, cải tạo, phục hồi đất thông qua dự án/phương án/dự toán được cấp có thẩm quyền phê duyệt. </w:t>
      </w:r>
      <w:r>
        <w:rPr>
          <w:sz w:val="28"/>
          <w:szCs w:val="28"/>
          <w:lang w:val="vi-VN"/>
        </w:rPr>
        <w:t xml:space="preserve">Việc lập dự toán, phân bổ, quản lý và quyết toán kinh phí hỗ trợ được thực hiện theo quy định của pháp luật về ngân sách nhà nước.</w:t>
      </w:r>
      <w:r>
        <w:rPr>
          <w:sz w:val="28"/>
          <w:szCs w:val="28"/>
          <w:lang w:val="vi-VN"/>
        </w:rPr>
      </w:r>
      <w:r>
        <w:rPr>
          <w:sz w:val="28"/>
          <w:szCs w:val="28"/>
          <w:lang w:val="vi-VN"/>
        </w:rPr>
      </w:r>
    </w:p>
    <w:p>
      <w:pPr>
        <w:pStyle w:val="928"/>
        <w:pBdr/>
        <w:spacing w:after="0" w:afterAutospacing="0" w:before="120" w:beforeAutospacing="0"/>
        <w:ind w:firstLine="709"/>
        <w:jc w:val="both"/>
        <w:rPr>
          <w:color w:val="000000" w:themeColor="text1"/>
          <w:sz w:val="28"/>
          <w:szCs w:val="28"/>
        </w:rPr>
      </w:pPr>
      <w:r>
        <w:rPr>
          <w:b/>
          <w:sz w:val="28"/>
          <w:szCs w:val="28"/>
          <w:lang w:val="vi-VN"/>
        </w:rPr>
        <w:t xml:space="preserve">3.</w:t>
      </w:r>
      <w:r>
        <w:rPr>
          <w:sz w:val="28"/>
          <w:szCs w:val="28"/>
          <w:lang w:val="vi-VN"/>
        </w:rPr>
        <w:t xml:space="preserve"> </w:t>
      </w:r>
      <w:r>
        <w:rPr>
          <w:bCs/>
          <w:sz w:val="28"/>
          <w:szCs w:val="28"/>
          <w:lang w:val="vi-VN"/>
        </w:rPr>
        <w:t xml:space="preserve">Đối với các hoạt động quy định tại điểm đ khoản 3 Điều 3 của Nghị quyết: v</w:t>
      </w:r>
      <w:r>
        <w:rPr>
          <w:sz w:val="28"/>
          <w:szCs w:val="28"/>
          <w:lang w:val="vi-VN"/>
        </w:rPr>
        <w:t xml:space="preserve">iệc lập dự toán, quản lý, sử dụng và quyết toán kinh phí để sửa chữa, duy tu bảo dưỡng các công trình hạ tầng nông nghiệp, nông thôn trên địa bàn </w:t>
      </w:r>
      <w:r>
        <w:rPr>
          <w:sz w:val="28"/>
          <w:szCs w:val="28"/>
        </w:rPr>
        <w:t xml:space="preserve">cấp </w:t>
      </w:r>
      <w:r>
        <w:rPr>
          <w:sz w:val="28"/>
          <w:szCs w:val="28"/>
          <w:lang w:val="vi-VN"/>
        </w:rPr>
        <w:t xml:space="preserve">xã được thực hiện theo quy định </w:t>
      </w:r>
      <w:r>
        <w:rPr>
          <w:color w:val="000000" w:themeColor="text1"/>
          <w:sz w:val="28"/>
          <w:szCs w:val="28"/>
        </w:rPr>
        <w:t xml:space="preserve">của pháp luật về ngân sách nhà nước</w:t>
      </w:r>
      <w:r>
        <w:rPr>
          <w:color w:val="000000" w:themeColor="text1"/>
          <w:sz w:val="28"/>
          <w:szCs w:val="28"/>
          <w:lang w:val="vi-VN"/>
        </w:rPr>
        <w:t xml:space="preserve">.</w:t>
      </w:r>
      <w:r>
        <w:rPr>
          <w:color w:val="000000" w:themeColor="text1"/>
          <w:sz w:val="28"/>
          <w:szCs w:val="28"/>
          <w:lang w:val="vi-VN"/>
        </w:rPr>
      </w:r>
      <w:r>
        <w:rPr>
          <w:color w:val="000000" w:themeColor="text1"/>
          <w:sz w:val="28"/>
          <w:szCs w:val="28"/>
        </w:rPr>
      </w:r>
    </w:p>
    <w:p>
      <w:pPr>
        <w:pStyle w:val="928"/>
        <w:pBdr/>
        <w:spacing w:after="0" w:afterAutospacing="0" w:before="120" w:beforeAutospacing="0"/>
        <w:ind w:firstLine="709"/>
        <w:jc w:val="both"/>
        <w:rPr>
          <w:sz w:val="28"/>
          <w:szCs w:val="28"/>
          <w:lang w:val="vi-VN"/>
        </w:rPr>
      </w:pPr>
      <w:r>
        <w:rPr>
          <w:b/>
          <w:sz w:val="28"/>
          <w:szCs w:val="28"/>
          <w:lang w:val="vi-VN"/>
        </w:rPr>
        <w:t xml:space="preserve">4.</w:t>
      </w:r>
      <w:r>
        <w:rPr>
          <w:sz w:val="28"/>
          <w:szCs w:val="28"/>
          <w:lang w:val="vi-VN"/>
        </w:rPr>
        <w:t xml:space="preserve"> </w:t>
      </w:r>
      <w:r>
        <w:rPr>
          <w:bCs/>
          <w:sz w:val="28"/>
          <w:szCs w:val="28"/>
          <w:lang w:val="vi-VN"/>
        </w:rPr>
        <w:t xml:space="preserve">Hỗ trợ 100% kinh phí đối với hoạt động quy định tại điểm e khoản 3 Điều 3 của Nghị quyết này và theo kế hoạch được phê duyệt.</w:t>
      </w:r>
      <w:bookmarkEnd w:id="6"/>
      <w:r>
        <w:rPr>
          <w:sz w:val="28"/>
          <w:szCs w:val="28"/>
          <w:lang w:val="vi-VN"/>
        </w:rPr>
      </w:r>
      <w:r>
        <w:rPr>
          <w:sz w:val="28"/>
          <w:szCs w:val="28"/>
          <w:lang w:val="vi-VN"/>
        </w:rPr>
      </w:r>
    </w:p>
    <w:p>
      <w:pPr>
        <w:pStyle w:val="928"/>
        <w:pBdr/>
        <w:spacing w:after="0" w:afterAutospacing="0" w:before="120" w:beforeAutospacing="0"/>
        <w:ind w:firstLine="709"/>
        <w:jc w:val="both"/>
        <w:rPr>
          <w:b/>
          <w:bCs/>
          <w:sz w:val="28"/>
          <w:szCs w:val="28"/>
          <w:lang w:val="vi-VN" w:eastAsia="vi-VN"/>
        </w:rPr>
      </w:pPr>
      <w:r>
        <w:rPr>
          <w:bCs/>
          <w:sz w:val="28"/>
          <w:szCs w:val="28"/>
          <w:lang w:val="vi-VN"/>
        </w:rPr>
        <w:tab/>
      </w:r>
      <w:r>
        <w:rPr>
          <w:b/>
          <w:bCs/>
          <w:sz w:val="28"/>
          <w:szCs w:val="28"/>
          <w:lang w:val="vi-VN" w:eastAsia="vi-VN"/>
        </w:rPr>
        <w:t xml:space="preserve">Điều </w:t>
      </w:r>
      <w:r>
        <w:rPr>
          <w:b/>
          <w:bCs/>
          <w:sz w:val="28"/>
          <w:szCs w:val="28"/>
          <w:lang w:val="vi-VN" w:eastAsia="vi-VN"/>
        </w:rPr>
        <w:t xml:space="preserve">6</w:t>
      </w:r>
      <w:r>
        <w:rPr>
          <w:b/>
          <w:bCs/>
          <w:sz w:val="28"/>
          <w:szCs w:val="28"/>
          <w:lang w:val="vi-VN" w:eastAsia="vi-VN"/>
        </w:rPr>
        <w:t xml:space="preserve">. Nguồn kinh phí thực hiện</w:t>
      </w:r>
      <w:r>
        <w:rPr>
          <w:b/>
          <w:bCs/>
          <w:sz w:val="28"/>
          <w:szCs w:val="28"/>
          <w:lang w:val="vi-VN" w:eastAsia="vi-VN"/>
        </w:rPr>
      </w:r>
      <w:r>
        <w:rPr>
          <w:b/>
          <w:bCs/>
          <w:sz w:val="28"/>
          <w:szCs w:val="28"/>
          <w:lang w:val="vi-VN" w:eastAsia="vi-VN"/>
        </w:rPr>
      </w:r>
    </w:p>
    <w:p>
      <w:pPr>
        <w:pBdr/>
        <w:shd w:val="clear" w:color="auto" w:fill="ffffff"/>
        <w:spacing w:before="120"/>
        <w:ind w:firstLine="709"/>
        <w:jc w:val="both"/>
        <w:rPr>
          <w:sz w:val="28"/>
          <w:szCs w:val="28"/>
          <w:lang w:val="vi-VN"/>
        </w:rPr>
      </w:pPr>
      <w:r/>
      <w:bookmarkStart w:id="7" w:name="_Hlk229560264"/>
      <w:r>
        <w:rPr>
          <w:b/>
          <w:sz w:val="28"/>
          <w:szCs w:val="28"/>
          <w:lang w:val="vi-VN"/>
        </w:rPr>
        <w:t xml:space="preserve">1.</w:t>
      </w:r>
      <w:r>
        <w:rPr>
          <w:sz w:val="28"/>
          <w:szCs w:val="28"/>
          <w:lang w:val="vi-VN"/>
        </w:rPr>
        <w:t xml:space="preserve"> </w:t>
      </w:r>
      <w:r>
        <w:rPr>
          <w:sz w:val="28"/>
          <w:szCs w:val="28"/>
          <w:lang w:val="vi-VN"/>
        </w:rPr>
        <w:t xml:space="preserve">Nguồn kinh phí do người được Nhà nước giao đất, cho thuê đất để sử dụng vào mục đích p</w:t>
      </w:r>
      <w:bookmarkStart w:id="8" w:name="_GoBack"/>
      <w:r/>
      <w:bookmarkEnd w:id="8"/>
      <w:r>
        <w:rPr>
          <w:sz w:val="28"/>
          <w:szCs w:val="28"/>
          <w:lang w:val="vi-VN"/>
        </w:rPr>
        <w:t xml:space="preserve">hi nông nghiệp từ đất chuyên trồng lúa phải nộp theo quy định và nguồn kinh phí ngân sách nhà nước hỗ trợ sản xuất lúa trong dự toán chi cân đối ngân sách địa phương theo quy định tại khoản 1 Điều 14 Nghị định số 112/2024/NĐ-CP.</w:t>
      </w:r>
      <w:r>
        <w:rPr>
          <w:sz w:val="28"/>
          <w:szCs w:val="28"/>
          <w:lang w:val="vi-VN"/>
        </w:rPr>
      </w:r>
      <w:r>
        <w:rPr>
          <w:sz w:val="28"/>
          <w:szCs w:val="28"/>
          <w:lang w:val="vi-VN"/>
        </w:rPr>
      </w:r>
    </w:p>
    <w:p>
      <w:pPr>
        <w:pBdr/>
        <w:shd w:val="clear" w:color="auto" w:fill="ffffff"/>
        <w:spacing w:before="120"/>
        <w:ind w:firstLine="709"/>
        <w:jc w:val="both"/>
        <w:rPr>
          <w:sz w:val="28"/>
          <w:szCs w:val="28"/>
          <w:lang w:val="vi-VN"/>
        </w:rPr>
      </w:pPr>
      <w:r>
        <w:rPr>
          <w:b/>
          <w:sz w:val="28"/>
          <w:szCs w:val="28"/>
          <w:lang w:val="vi-VN"/>
        </w:rPr>
        <w:t xml:space="preserve">2.</w:t>
      </w:r>
      <w:r>
        <w:rPr>
          <w:sz w:val="28"/>
          <w:szCs w:val="28"/>
          <w:lang w:val="vi-VN"/>
        </w:rPr>
        <w:t xml:space="preserve"> </w:t>
      </w:r>
      <w:r>
        <w:rPr>
          <w:sz w:val="28"/>
          <w:szCs w:val="28"/>
          <w:lang w:val="vi-VN"/>
        </w:rPr>
        <w:t xml:space="preserve">Hàng năm, căn cứ nguồn kinh phí ngân sách Trung ương hỗ trợ sản xuất lúa tron</w:t>
      </w:r>
      <w:r>
        <w:rPr>
          <w:sz w:val="28"/>
          <w:szCs w:val="28"/>
          <w:lang w:val="vi-VN"/>
        </w:rPr>
        <w:t xml:space="preserve">g dự toán chi cân đối ngân sách địa phương theo quy định tại khoản 1 Điều 14 Nghị định số 112/2024/NĐ-CP và nguồn thu tiền bảo vệ đất trồng lúa đã nộp vào ngân sách tỉnh, Ủy ban nhân dân tỉnh phân bổ kinh phí đối với nguồn thu tiền bảo vệ đất trồng lúa đã </w:t>
      </w:r>
      <w:r>
        <w:rPr>
          <w:sz w:val="28"/>
          <w:szCs w:val="28"/>
          <w:lang w:val="vi-VN"/>
        </w:rPr>
        <w:t xml:space="preserve">nộp vào ngân sách tỉnh </w:t>
      </w:r>
      <w:r>
        <w:rPr>
          <w:sz w:val="28"/>
          <w:szCs w:val="28"/>
          <w:lang w:val="vi-VN"/>
        </w:rPr>
        <w:t xml:space="preserve">và trình Hội đồng nhân dân tỉnh phân bổ kinh phí đối với nguồn ngân sách Trung ương hỗ trợ sản xuất lúa trong dự toán chi cân đối ngân sách địa phương theo quy định</w:t>
      </w:r>
      <w:bookmarkEnd w:id="7"/>
      <w:r>
        <w:rPr>
          <w:sz w:val="28"/>
          <w:szCs w:val="28"/>
          <w:lang w:val="vi-VN"/>
        </w:rPr>
        <w:t xml:space="preserve">.</w:t>
      </w:r>
      <w:r>
        <w:rPr>
          <w:sz w:val="28"/>
          <w:szCs w:val="28"/>
          <w:lang w:val="vi-VN"/>
        </w:rPr>
      </w:r>
      <w:r>
        <w:rPr>
          <w:sz w:val="28"/>
          <w:szCs w:val="28"/>
          <w:lang w:val="vi-VN"/>
        </w:rPr>
      </w:r>
    </w:p>
    <w:p>
      <w:pPr>
        <w:pBdr/>
        <w:spacing w:before="120"/>
        <w:ind w:firstLine="709"/>
        <w:jc w:val="both"/>
        <w:rPr>
          <w:rFonts w:eastAsia="Calibri"/>
          <w:b/>
          <w:sz w:val="28"/>
          <w:szCs w:val="28"/>
        </w:rPr>
      </w:pPr>
      <w:r>
        <w:rPr>
          <w:b/>
          <w:sz w:val="28"/>
          <w:szCs w:val="28"/>
        </w:rPr>
        <w:t xml:space="preserve">Điều 7. Tổ chức thực hiện</w:t>
      </w:r>
      <w:r>
        <w:rPr>
          <w:rFonts w:eastAsia="Calibri"/>
          <w:b/>
          <w:sz w:val="28"/>
          <w:szCs w:val="28"/>
        </w:rPr>
      </w:r>
      <w:r>
        <w:rPr>
          <w:rFonts w:eastAsia="Calibri"/>
          <w:b/>
          <w:sz w:val="28"/>
          <w:szCs w:val="28"/>
        </w:rPr>
      </w:r>
    </w:p>
    <w:p>
      <w:pPr>
        <w:pBdr/>
        <w:spacing w:before="120"/>
        <w:ind w:firstLine="709"/>
        <w:jc w:val="both"/>
        <w:rPr>
          <w:rFonts w:eastAsia="Calibri"/>
          <w:sz w:val="28"/>
          <w:szCs w:val="28"/>
        </w:rPr>
      </w:pPr>
      <w:r>
        <w:rPr>
          <w:b/>
          <w:sz w:val="28"/>
          <w:szCs w:val="28"/>
        </w:rPr>
        <w:t xml:space="preserve">1. </w:t>
      </w:r>
      <w:r>
        <w:rPr>
          <w:sz w:val="28"/>
          <w:szCs w:val="28"/>
        </w:rPr>
        <w:t xml:space="preserve">Giao Ủy ban nhân dân tỉnh tổ chức triển khai thực hiện Nghị quyết.</w:t>
      </w:r>
      <w:r>
        <w:rPr>
          <w:rFonts w:eastAsia="Calibri"/>
          <w:sz w:val="28"/>
          <w:szCs w:val="28"/>
        </w:rPr>
      </w:r>
      <w:r>
        <w:rPr>
          <w:rFonts w:eastAsia="Calibri"/>
          <w:sz w:val="28"/>
          <w:szCs w:val="28"/>
        </w:rPr>
      </w:r>
    </w:p>
    <w:p>
      <w:pPr>
        <w:pBdr/>
        <w:spacing w:before="120"/>
        <w:ind w:firstLine="709"/>
        <w:jc w:val="both"/>
        <w:rPr>
          <w:rFonts w:eastAsia="Calibri"/>
          <w:sz w:val="28"/>
          <w:szCs w:val="28"/>
          <w:shd w:val="clear" w:color="auto" w:fill="ffffff"/>
        </w:rPr>
      </w:pPr>
      <w:r>
        <w:rPr>
          <w:b/>
          <w:sz w:val="28"/>
          <w:szCs w:val="28"/>
        </w:rPr>
        <w:t xml:space="preserve">2. </w:t>
      </w:r>
      <w:r>
        <w:rPr>
          <w:sz w:val="28"/>
          <w:szCs w:val="28"/>
          <w:shd w:val="clear" w:color="auto" w:fill="ffffff"/>
        </w:rPr>
        <w:t xml:space="preserve">Giao Thường trực Hội đồng nhân dân, các Ban của Hội đồng nhân dân, Tổ đại biểu và đại biểu Hội đồng nhân dân tỉnh giám sát thực hiện Nghị quyết.</w:t>
      </w:r>
      <w:r>
        <w:rPr>
          <w:rFonts w:eastAsia="Calibri"/>
          <w:sz w:val="28"/>
          <w:szCs w:val="28"/>
          <w:shd w:val="clear" w:color="auto" w:fill="ffffff"/>
        </w:rPr>
      </w:r>
      <w:r>
        <w:rPr>
          <w:rFonts w:eastAsia="Calibri"/>
          <w:sz w:val="28"/>
          <w:szCs w:val="28"/>
          <w:shd w:val="clear" w:color="auto" w:fill="ffffff"/>
        </w:rPr>
      </w:r>
    </w:p>
    <w:p>
      <w:pPr>
        <w:pBdr/>
        <w:spacing w:before="120"/>
        <w:ind w:firstLine="709"/>
        <w:jc w:val="both"/>
        <w:rPr>
          <w:rFonts w:eastAsia="Calibri"/>
          <w:sz w:val="28"/>
          <w:szCs w:val="28"/>
          <w:shd w:val="clear" w:color="auto" w:fill="ffffff"/>
        </w:rPr>
      </w:pPr>
      <w:r>
        <w:rPr>
          <w:b/>
          <w:sz w:val="28"/>
          <w:szCs w:val="28"/>
          <w:shd w:val="clear" w:color="auto" w:fill="ffffff"/>
        </w:rPr>
        <w:t xml:space="preserve">3.</w:t>
      </w:r>
      <w:r>
        <w:rPr>
          <w:sz w:val="28"/>
          <w:szCs w:val="28"/>
          <w:shd w:val="clear" w:color="auto" w:fill="ffffff"/>
        </w:rPr>
        <w:t xml:space="preserve"> Đề nghị Ủy ban Mặt trận Tổ quốc Việt Nam tỉnh, các tổ chức chính trị -xã hội tỉnh tuyên truyền và tham gia giám sát việc thực hiện Nghị quyết.</w:t>
      </w:r>
      <w:r>
        <w:rPr>
          <w:rFonts w:eastAsia="Calibri"/>
          <w:sz w:val="28"/>
          <w:szCs w:val="28"/>
          <w:shd w:val="clear" w:color="auto" w:fill="ffffff"/>
        </w:rPr>
      </w:r>
      <w:r>
        <w:rPr>
          <w:rFonts w:eastAsia="Calibri"/>
          <w:sz w:val="28"/>
          <w:szCs w:val="28"/>
          <w:shd w:val="clear" w:color="auto" w:fill="ffffff"/>
        </w:rPr>
      </w:r>
    </w:p>
    <w:p>
      <w:pPr>
        <w:pBdr/>
        <w:spacing w:before="120"/>
        <w:ind w:right="148" w:firstLine="709"/>
        <w:jc w:val="both"/>
        <w:rPr>
          <w:b/>
          <w:sz w:val="28"/>
          <w:szCs w:val="28"/>
          <w:lang w:val="vi-VN"/>
        </w:rPr>
      </w:pPr>
      <w:r>
        <w:rPr>
          <w:b/>
          <w:sz w:val="28"/>
          <w:szCs w:val="28"/>
          <w:lang w:val="vi-VN"/>
        </w:rPr>
        <w:t xml:space="preserve">Điều </w:t>
      </w:r>
      <w:r>
        <w:rPr>
          <w:b/>
          <w:sz w:val="28"/>
          <w:szCs w:val="28"/>
          <w:lang w:val="vi-VN"/>
        </w:rPr>
        <w:t xml:space="preserve">8</w:t>
      </w:r>
      <w:r>
        <w:rPr>
          <w:b/>
          <w:sz w:val="28"/>
          <w:szCs w:val="28"/>
          <w:lang w:val="vi-VN"/>
        </w:rPr>
        <w:t xml:space="preserve">. Điều khoản thi hành</w:t>
      </w:r>
      <w:r>
        <w:rPr>
          <w:b/>
          <w:sz w:val="28"/>
          <w:szCs w:val="28"/>
          <w:lang w:val="vi-VN"/>
        </w:rPr>
      </w:r>
      <w:r>
        <w:rPr>
          <w:b/>
          <w:sz w:val="28"/>
          <w:szCs w:val="28"/>
          <w:lang w:val="vi-VN"/>
        </w:rPr>
      </w:r>
    </w:p>
    <w:p>
      <w:pPr>
        <w:pBdr/>
        <w:spacing w:before="120"/>
        <w:ind w:right="148" w:firstLine="709"/>
        <w:jc w:val="both"/>
        <w:rPr>
          <w:sz w:val="28"/>
          <w:szCs w:val="28"/>
          <w:lang w:val="vi-VN"/>
        </w:rPr>
      </w:pPr>
      <w:r>
        <w:rPr>
          <w:b/>
          <w:sz w:val="28"/>
          <w:szCs w:val="28"/>
          <w:lang w:val="vi-VN"/>
        </w:rPr>
        <w:t xml:space="preserve">1.</w:t>
      </w:r>
      <w:r>
        <w:rPr>
          <w:sz w:val="28"/>
          <w:szCs w:val="28"/>
          <w:lang w:val="vi-VN"/>
        </w:rPr>
        <w:t xml:space="preserve"> Nghị quyết có hiệu lự</w:t>
      </w:r>
      <w:r>
        <w:rPr>
          <w:sz w:val="28"/>
          <w:szCs w:val="28"/>
          <w:lang w:val="vi-VN"/>
        </w:rPr>
        <w:t xml:space="preserve">c kể từ ngày </w:t>
      </w:r>
      <w:r>
        <w:rPr>
          <w:sz w:val="28"/>
          <w:szCs w:val="28"/>
          <w:lang w:val="vi-VN"/>
        </w:rPr>
        <w:t xml:space="preserve">01 </w:t>
      </w:r>
      <w:r>
        <w:rPr>
          <w:sz w:val="28"/>
          <w:szCs w:val="28"/>
          <w:lang w:val="vi-VN"/>
        </w:rPr>
        <w:t xml:space="preserve">tháng</w:t>
      </w:r>
      <w:r>
        <w:rPr>
          <w:sz w:val="28"/>
          <w:szCs w:val="28"/>
          <w:lang w:val="vi-VN"/>
        </w:rPr>
        <w:t xml:space="preserve"> </w:t>
      </w:r>
      <w:r>
        <w:rPr>
          <w:sz w:val="28"/>
          <w:szCs w:val="28"/>
          <w:lang w:val="vi-VN"/>
        </w:rPr>
        <w:t xml:space="preserve">8</w:t>
      </w:r>
      <w:r>
        <w:rPr>
          <w:sz w:val="28"/>
          <w:szCs w:val="28"/>
          <w:lang w:val="vi-VN"/>
        </w:rPr>
        <w:t xml:space="preserve"> </w:t>
      </w:r>
      <w:r>
        <w:rPr>
          <w:sz w:val="28"/>
          <w:szCs w:val="28"/>
          <w:lang w:val="vi-VN"/>
        </w:rPr>
        <w:t xml:space="preserve">năm 2026</w:t>
      </w:r>
      <w:r>
        <w:rPr>
          <w:sz w:val="28"/>
          <w:szCs w:val="28"/>
          <w:lang w:val="vi-VN"/>
        </w:rPr>
        <w:t xml:space="preserve">.</w:t>
      </w:r>
      <w:r>
        <w:rPr>
          <w:sz w:val="28"/>
          <w:szCs w:val="28"/>
          <w:lang w:val="vi-VN"/>
        </w:rPr>
      </w:r>
      <w:r>
        <w:rPr>
          <w:sz w:val="28"/>
          <w:szCs w:val="28"/>
          <w:lang w:val="vi-VN"/>
        </w:rPr>
      </w:r>
    </w:p>
    <w:p>
      <w:pPr>
        <w:pBdr/>
        <w:spacing w:before="120"/>
        <w:ind w:right="148" w:firstLine="709"/>
        <w:jc w:val="both"/>
        <w:rPr>
          <w:sz w:val="28"/>
          <w:szCs w:val="28"/>
          <w:lang w:val="vi-VN"/>
        </w:rPr>
      </w:pPr>
      <w:r>
        <w:rPr>
          <w:b/>
          <w:sz w:val="28"/>
          <w:szCs w:val="28"/>
          <w:lang w:val="vi-VN"/>
        </w:rPr>
        <w:t xml:space="preserve">2.</w:t>
      </w:r>
      <w:r>
        <w:rPr>
          <w:sz w:val="28"/>
          <w:szCs w:val="28"/>
          <w:lang w:val="vi-VN"/>
        </w:rPr>
        <w:t xml:space="preserve"> </w:t>
      </w:r>
      <w:r>
        <w:rPr>
          <w:sz w:val="28"/>
          <w:szCs w:val="28"/>
          <w:lang w:val="vi-VN"/>
        </w:rPr>
        <w:t xml:space="preserve">Các chương trình, dự án, nhiệm vụ, phương án, dự toán sử dụng nguồn kinh phí hỗ trợ bảo vệ đất trồn</w:t>
      </w:r>
      <w:r>
        <w:rPr>
          <w:sz w:val="28"/>
          <w:szCs w:val="28"/>
          <w:lang w:val="vi-VN"/>
        </w:rPr>
        <w:t xml:space="preserve">g lúa đã được cơ quan có thẩm quyền phê duyệt theo Nghị quyết số 21/2024/NQ-HĐND ngày 07/11/2024 của Hội đồng nhân dân tỉnh Long An trước ngày Nghị quyết này có hiệu lực thi hành thì tiếp tục được thực hiện theo quyết định phê duyệt cho đến khi hoàn thành.</w:t>
      </w:r>
      <w:r>
        <w:rPr>
          <w:sz w:val="28"/>
          <w:szCs w:val="28"/>
          <w:lang w:val="vi-VN"/>
        </w:rPr>
      </w:r>
      <w:r>
        <w:rPr>
          <w:sz w:val="28"/>
          <w:szCs w:val="28"/>
          <w:lang w:val="vi-VN"/>
        </w:rPr>
      </w:r>
    </w:p>
    <w:p>
      <w:pPr>
        <w:pStyle w:val="1003"/>
        <w:pBdr/>
        <w:spacing w:after="0" w:before="120"/>
        <w:ind w:right="148" w:firstLine="709" w:left="0"/>
        <w:jc w:val="both"/>
        <w:rPr>
          <w:sz w:val="28"/>
          <w:szCs w:val="28"/>
          <w:lang w:val="it-IT"/>
        </w:rPr>
      </w:pPr>
      <w:r>
        <w:rPr>
          <w:b/>
          <w:sz w:val="28"/>
          <w:szCs w:val="28"/>
          <w:lang w:val="pl-PL"/>
        </w:rPr>
        <w:t xml:space="preserve">3</w:t>
      </w:r>
      <w:r>
        <w:rPr>
          <w:b/>
          <w:bCs/>
          <w:sz w:val="28"/>
          <w:szCs w:val="28"/>
          <w:lang w:val="pl-PL"/>
        </w:rPr>
        <w:t xml:space="preserve">. </w:t>
      </w:r>
      <w:r>
        <w:rPr>
          <w:sz w:val="28"/>
          <w:szCs w:val="28"/>
          <w:lang w:val="pl-PL"/>
        </w:rPr>
        <w:t xml:space="preserve">Nghị quyết này thay thế Nghị quyết số 21/2024/NQ-HĐND ngày 07/11/2024 của Hội đồng nhân dân tỉnh </w:t>
      </w:r>
      <w:r>
        <w:rPr>
          <w:sz w:val="28"/>
          <w:szCs w:val="28"/>
          <w:lang w:val="pl-PL"/>
        </w:rPr>
        <w:t xml:space="preserve">Long</w:t>
      </w:r>
      <w:r>
        <w:rPr>
          <w:sz w:val="28"/>
          <w:szCs w:val="28"/>
          <w:lang w:val="vi-VN"/>
        </w:rPr>
        <w:t xml:space="preserve"> An </w:t>
      </w:r>
      <w:r>
        <w:rPr>
          <w:sz w:val="28"/>
          <w:szCs w:val="28"/>
          <w:lang w:val="vi-VN"/>
        </w:rPr>
        <w:t xml:space="preserve">về việc quy định nguyên tắc, phạm vi, định mức hỗ trợ và việc sử dụng kinh phí hỗ trợ cho các hoạt động quy định tại khoản 2 Điều 15 Nghị định số 112/2024/NĐ-CP ngày 11/9/2024 của Chính phủ trên địa bàn tỉnh Long An</w:t>
      </w:r>
      <w:r>
        <w:rPr>
          <w:sz w:val="28"/>
          <w:szCs w:val="28"/>
          <w:lang w:val="it-IT"/>
        </w:rPr>
        <w:t xml:space="preserve">. </w:t>
      </w:r>
      <w:r>
        <w:rPr>
          <w:sz w:val="28"/>
          <w:szCs w:val="28"/>
          <w:lang w:val="it-IT"/>
        </w:rPr>
      </w:r>
      <w:r>
        <w:rPr>
          <w:sz w:val="28"/>
          <w:szCs w:val="28"/>
          <w:lang w:val="it-IT"/>
        </w:rPr>
      </w:r>
    </w:p>
    <w:p>
      <w:pPr>
        <w:pStyle w:val="1003"/>
        <w:pBdr/>
        <w:spacing w:after="0" w:before="120"/>
        <w:ind w:right="148" w:firstLine="709" w:left="0"/>
        <w:jc w:val="both"/>
        <w:rPr>
          <w:sz w:val="28"/>
          <w:szCs w:val="28"/>
          <w:lang w:val="pl-PL"/>
        </w:rPr>
      </w:pPr>
      <w:r>
        <w:rPr>
          <w:b/>
          <w:bCs/>
          <w:sz w:val="28"/>
          <w:szCs w:val="28"/>
          <w:lang w:val="it-IT"/>
        </w:rPr>
        <w:t xml:space="preserve">4.</w:t>
      </w:r>
      <w:r>
        <w:rPr>
          <w:sz w:val="28"/>
          <w:szCs w:val="28"/>
          <w:lang w:val="it-IT"/>
        </w:rPr>
        <w:t xml:space="preserve"> Trường hợp văn bản dẫn chiếu tại Nghị quyết này được sửa đổi, bổ sung hoặc thay thế thì thực hiện theo văn bản sửa đổi, bổ sung hoặc thay thế đó.</w:t>
      </w:r>
      <w:r>
        <w:rPr>
          <w:sz w:val="28"/>
          <w:szCs w:val="28"/>
          <w:lang w:val="pl-PL"/>
        </w:rPr>
      </w:r>
      <w:r>
        <w:rPr>
          <w:sz w:val="28"/>
          <w:szCs w:val="28"/>
          <w:lang w:val="pl-PL"/>
        </w:rPr>
      </w:r>
    </w:p>
    <w:p>
      <w:pPr>
        <w:pBdr/>
        <w:spacing w:after="120" w:before="120"/>
        <w:ind w:firstLine="706"/>
        <w:jc w:val="both"/>
        <w:rPr>
          <w:i/>
          <w:iCs/>
          <w:sz w:val="28"/>
          <w:szCs w:val="28"/>
          <w:lang w:val="vi-VN"/>
        </w:rPr>
      </w:pPr>
      <w:r>
        <w:rPr>
          <w:i/>
          <w:iCs/>
          <w:sz w:val="28"/>
          <w:szCs w:val="28"/>
          <w:lang w:val="vi-VN"/>
        </w:rPr>
        <w:t xml:space="preserve">Nghị quyết này đã được Hội đồng nhân dân tỉnh </w:t>
      </w:r>
      <w:r>
        <w:rPr>
          <w:i/>
          <w:iCs/>
          <w:sz w:val="28"/>
          <w:szCs w:val="28"/>
          <w:lang w:val="vi-VN"/>
        </w:rPr>
        <w:t xml:space="preserve">khoá XI, </w:t>
      </w:r>
      <w:r>
        <w:rPr>
          <w:i/>
          <w:iCs/>
          <w:sz w:val="28"/>
          <w:szCs w:val="28"/>
        </w:rPr>
        <w:t xml:space="preserve">K</w:t>
      </w:r>
      <w:r>
        <w:rPr>
          <w:i/>
          <w:iCs/>
          <w:sz w:val="28"/>
          <w:szCs w:val="28"/>
          <w:lang w:val="vi-VN"/>
        </w:rPr>
        <w:t xml:space="preserve">ỳ họp thứ </w:t>
      </w:r>
      <w:r>
        <w:rPr>
          <w:i/>
          <w:iCs/>
          <w:sz w:val="28"/>
          <w:szCs w:val="28"/>
        </w:rPr>
        <w:t xml:space="preserve">5</w:t>
      </w:r>
      <w:r>
        <w:rPr>
          <w:i/>
          <w:iCs/>
          <w:sz w:val="28"/>
          <w:szCs w:val="28"/>
          <w:lang w:val="vi-VN"/>
        </w:rPr>
        <w:t xml:space="preserve"> (kỳ họp </w:t>
      </w:r>
      <w:r>
        <w:rPr>
          <w:i/>
          <w:iCs/>
          <w:sz w:val="28"/>
          <w:szCs w:val="28"/>
        </w:rPr>
        <w:t xml:space="preserve">thường lệ giữa năm 2026</w:t>
      </w:r>
      <w:r>
        <w:rPr>
          <w:i/>
          <w:iCs/>
          <w:sz w:val="28"/>
          <w:szCs w:val="28"/>
          <w:lang w:val="vi-VN"/>
        </w:rPr>
        <w:t xml:space="preserve">) thông qua ngày 1</w:t>
      </w:r>
      <w:r>
        <w:rPr>
          <w:i/>
          <w:iCs/>
          <w:sz w:val="28"/>
          <w:szCs w:val="28"/>
        </w:rPr>
        <w:t xml:space="preserve">7</w:t>
      </w:r>
      <w:r>
        <w:rPr>
          <w:i/>
          <w:iCs/>
          <w:sz w:val="28"/>
          <w:szCs w:val="28"/>
          <w:lang w:val="vi-VN"/>
        </w:rPr>
        <w:t xml:space="preserve"> tháng </w:t>
      </w:r>
      <w:r>
        <w:rPr>
          <w:i/>
          <w:iCs/>
          <w:sz w:val="28"/>
          <w:szCs w:val="28"/>
        </w:rPr>
        <w:t xml:space="preserve">7</w:t>
      </w:r>
      <w:r>
        <w:rPr>
          <w:i/>
          <w:iCs/>
          <w:sz w:val="28"/>
          <w:szCs w:val="28"/>
          <w:lang w:val="vi-VN"/>
        </w:rPr>
        <w:t xml:space="preserve"> năm 2026./.</w:t>
      </w:r>
      <w:r>
        <w:rPr>
          <w:i/>
          <w:iCs/>
          <w:sz w:val="28"/>
          <w:szCs w:val="28"/>
          <w:lang w:val="vi-VN"/>
        </w:rPr>
      </w:r>
      <w:r>
        <w:rPr>
          <w:i/>
          <w:iCs/>
          <w:sz w:val="28"/>
          <w:szCs w:val="28"/>
          <w:lang w:val="vi-VN"/>
        </w:rPr>
      </w:r>
    </w:p>
    <w:tbl>
      <w:tblPr>
        <w:tblW w:w="9468" w:type="dxa"/>
        <w:tblInd w:w="-90" w:type="dxa"/>
        <w:tblBorders/>
        <w:tblCellMar>
          <w:left w:w="0" w:type="dxa"/>
          <w:right w:w="0" w:type="dxa"/>
        </w:tblCellMar>
        <w:tblLook w:val="04A0" w:firstRow="1" w:lastRow="0" w:firstColumn="1" w:lastColumn="0" w:noHBand="0" w:noVBand="1"/>
      </w:tblPr>
      <w:tblGrid>
        <w:gridCol w:w="6318"/>
        <w:gridCol w:w="3150"/>
      </w:tblGrid>
      <w:tr>
        <w:trPr>
          <w:trHeight w:val="1052"/>
        </w:trPr>
        <w:tc>
          <w:tcPr>
            <w:tcBorders/>
            <w:tcMar>
              <w:left w:w="108" w:type="dxa"/>
              <w:top w:w="0" w:type="dxa"/>
              <w:right w:w="108" w:type="dxa"/>
              <w:bottom w:w="0" w:type="dxa"/>
            </w:tcMar>
            <w:tcW w:w="6318" w:type="dxa"/>
            <w:textDirection w:val="lrTb"/>
            <w:noWrap w:val="false"/>
          </w:tcPr>
          <w:p>
            <w:pPr>
              <w:pBdr/>
              <w:spacing/>
              <w:ind/>
              <w:rPr>
                <w:sz w:val="22"/>
                <w:szCs w:val="22"/>
                <w:highlight w:val="white"/>
              </w:rPr>
            </w:pPr>
            <w:r>
              <w:rPr>
                <w:b/>
                <w:bCs/>
                <w:i/>
                <w:iCs/>
              </w:rPr>
              <w:t xml:space="preserve">Nơi nhận:</w:t>
            </w:r>
            <w:r>
              <w:rPr>
                <w:b/>
                <w:bCs/>
                <w:i/>
                <w:iCs/>
                <w:highlight w:val="white"/>
              </w:rPr>
              <w:br/>
            </w:r>
            <w:r>
              <w:rPr>
                <w:sz w:val="22"/>
                <w:szCs w:val="22"/>
                <w:highlight w:val="white"/>
              </w:rPr>
              <w:t xml:space="preserve">- Ủy ban Thường vụ Quốc hội (b/c);</w:t>
            </w:r>
            <w:r>
              <w:rPr>
                <w:sz w:val="22"/>
                <w:szCs w:val="22"/>
                <w:highlight w:val="white"/>
              </w:rPr>
              <w:br/>
              <w:t xml:space="preserve">- Chính phủ (b/c);</w:t>
            </w:r>
            <w:r>
              <w:rPr>
                <w:sz w:val="22"/>
                <w:szCs w:val="22"/>
                <w:highlight w:val="white"/>
              </w:rPr>
              <w:br/>
              <w:t xml:space="preserve">- Ủy ban Công tác đại biểu của Quốc hội (b/c); </w:t>
            </w:r>
            <w:r>
              <w:rPr>
                <w:sz w:val="22"/>
                <w:szCs w:val="22"/>
                <w:highlight w:val="white"/>
              </w:rPr>
            </w:r>
            <w:r>
              <w:rPr>
                <w:sz w:val="22"/>
                <w:szCs w:val="22"/>
                <w:highlight w:val="white"/>
              </w:rPr>
            </w:r>
          </w:p>
          <w:p>
            <w:pPr>
              <w:pBdr/>
              <w:spacing/>
              <w:ind/>
              <w:rPr>
                <w:sz w:val="22"/>
                <w:szCs w:val="22"/>
                <w:highlight w:val="white"/>
              </w:rPr>
            </w:pPr>
            <w:r>
              <w:rPr>
                <w:sz w:val="22"/>
                <w:szCs w:val="22"/>
                <w:highlight w:val="white"/>
              </w:rPr>
              <w:t xml:space="preserve">- Các Bộ: </w:t>
            </w:r>
            <w:r>
              <w:rPr>
                <w:sz w:val="22"/>
                <w:szCs w:val="22"/>
                <w:highlight w:val="white"/>
              </w:rPr>
              <w:t xml:space="preserve">Nông nghiệp và Môi trường</w:t>
            </w:r>
            <w:r>
              <w:rPr>
                <w:sz w:val="22"/>
                <w:szCs w:val="22"/>
                <w:highlight w:val="white"/>
              </w:rPr>
              <w:t xml:space="preserve">, Tư pháp (b/c); </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w:t>
            </w:r>
            <w:r>
              <w:rPr>
                <w:sz w:val="22"/>
                <w:szCs w:val="22"/>
              </w:rPr>
              <w:t xml:space="preserve">Cục Kiểm tra văn bản và Quản lý xử lý vi phạm hành chính </w:t>
            </w:r>
            <w:r>
              <w:rPr>
                <w:sz w:val="22"/>
                <w:szCs w:val="22"/>
                <w:highlight w:val="white"/>
              </w:rPr>
              <w:t xml:space="preserve">-</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Bộ Tư pháp (b/c); </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Vụ Pháp chế - </w:t>
            </w:r>
            <w:r>
              <w:rPr>
                <w:sz w:val="22"/>
                <w:szCs w:val="22"/>
              </w:rPr>
              <w:t xml:space="preserve">Bộ Nông nghiệp và Môi trường (b/c)</w:t>
            </w:r>
            <w:r>
              <w:rPr>
                <w:sz w:val="22"/>
                <w:szCs w:val="22"/>
                <w:highlight w:val="white"/>
              </w:rPr>
              <w:t xml:space="preserve">;</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Thường trực Tỉnh ủy (b/c);</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Đại biểu Quốc hội đơn vị tỉnh Tây Ninh; </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Đại biểu HĐND tỉnh khóa XI; </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UBND tỉnh;</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UBMTTQVN tỉnh; </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Các sở, ban, ngành tỉnh;</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Văn phòng Đoàn ĐBQH và HĐND tỉnh;</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Văn phòng UBND tỉnh;</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Thường trực HĐND, UBND các xã, phường; </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Trang Thông tin điện tử HĐND tỉnh;</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sz w:val="22"/>
                <w:szCs w:val="22"/>
                <w:highlight w:val="white"/>
              </w:rPr>
            </w:pPr>
            <w:r>
              <w:rPr>
                <w:sz w:val="22"/>
                <w:szCs w:val="22"/>
                <w:highlight w:val="white"/>
              </w:rPr>
              <w:t xml:space="preserve">- Trung tâm Công báo - Tin học tỉnh (Văn phòng UBND tỉnh);</w:t>
            </w:r>
            <w:r>
              <w:rPr>
                <w:sz w:val="22"/>
                <w:szCs w:val="22"/>
                <w:highlight w:val="white"/>
              </w:rPr>
            </w:r>
            <w:r>
              <w:rPr>
                <w:sz w:val="22"/>
                <w:szCs w:val="22"/>
                <w:highlight w:val="white"/>
              </w:rPr>
            </w:r>
          </w:p>
          <w:p>
            <w:pPr>
              <w:pBdr>
                <w:top w:val="none" w:color="000000" w:sz="0" w:space="0"/>
                <w:left w:val="none" w:color="000000" w:sz="0" w:space="0"/>
                <w:bottom w:val="none" w:color="000000" w:sz="0" w:space="0"/>
                <w:right w:val="none" w:color="000000" w:sz="0" w:space="0"/>
                <w:between w:val="none" w:color="000000" w:sz="0" w:space="0"/>
              </w:pBdr>
              <w:spacing/>
              <w:ind/>
              <w:rPr>
                <w:highlight w:val="white"/>
              </w:rPr>
            </w:pPr>
            <w:r>
              <w:rPr>
                <w:sz w:val="22"/>
                <w:szCs w:val="22"/>
                <w:highlight w:val="white"/>
              </w:rPr>
              <w:t xml:space="preserve">- Lưu: VT, CT.HĐND, </w:t>
            </w:r>
            <w:r>
              <w:rPr>
                <w:sz w:val="16"/>
                <w:szCs w:val="16"/>
                <w:highlight w:val="white"/>
              </w:rPr>
              <w:t xml:space="preserve">(tructhao).</w:t>
            </w:r>
            <w:r>
              <w:rPr>
                <w:highlight w:val="white"/>
              </w:rPr>
            </w:r>
            <w:r>
              <w:rPr>
                <w:highlight w:val="white"/>
              </w:rPr>
            </w:r>
          </w:p>
        </w:tc>
        <w:tc>
          <w:tcPr>
            <w:tcBorders/>
            <w:tcMar>
              <w:left w:w="108" w:type="dxa"/>
              <w:top w:w="0" w:type="dxa"/>
              <w:right w:w="108" w:type="dxa"/>
              <w:bottom w:w="0" w:type="dxa"/>
            </w:tcMar>
            <w:tcW w:w="3150" w:type="dxa"/>
            <w:textDirection w:val="lrTb"/>
            <w:noWrap w:val="false"/>
          </w:tcPr>
          <w:p>
            <w:pPr>
              <w:pBdr/>
              <w:spacing/>
              <w:ind/>
              <w:jc w:val="center"/>
              <w:rPr>
                <w:b/>
                <w:bCs/>
                <w:highlight w:val="white"/>
              </w:rPr>
            </w:pPr>
            <w:r>
              <w:rPr>
                <w:b/>
                <w:bCs/>
                <w:sz w:val="28"/>
                <w:highlight w:val="white"/>
              </w:rPr>
              <w:t xml:space="preserve">CHỦ TỊCH</w:t>
            </w:r>
            <w:r>
              <w:rPr>
                <w:b/>
                <w:bCs/>
                <w:highlight w:val="white"/>
              </w:rPr>
              <w:br/>
            </w:r>
            <w:r>
              <w:rPr>
                <w:b/>
                <w:bCs/>
                <w:highlight w:val="white"/>
              </w:rPr>
              <w:br/>
            </w:r>
            <w:r>
              <w:rPr>
                <w:b/>
                <w:bCs/>
                <w:highlight w:val="white"/>
              </w:rPr>
              <w:b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left="-1010"/>
              <w:jc w:val="center"/>
              <w:rPr>
                <w:b/>
                <w:bCs/>
                <w:highlight w:val="white"/>
              </w:rPr>
            </w:pPr>
            <w:r>
              <w:rPr>
                <w:b/>
                <w:bCs/>
                <w:highlight w:val="white"/>
              </w:rPr>
            </w:r>
            <w:r>
              <w:rPr>
                <w:b/>
                <w:bCs/>
                <w:highlight w:val="white"/>
              </w:rPr>
            </w:r>
            <w:r>
              <w:rPr>
                <w:b/>
                <w:bCs/>
                <w:highlight w:val="white"/>
              </w:rPr>
            </w:r>
          </w:p>
          <w:p>
            <w:pPr>
              <w:pBdr/>
              <w:spacing/>
              <w:ind/>
              <w:jc w:val="center"/>
              <w:rPr>
                <w:sz w:val="28"/>
                <w:szCs w:val="28"/>
                <w:highlight w:val="white"/>
              </w:rPr>
            </w:pPr>
            <w:r>
              <w:rPr>
                <w:b/>
                <w:bCs/>
                <w:sz w:val="28"/>
                <w:szCs w:val="28"/>
                <w:highlight w:val="white"/>
              </w:rPr>
              <w:t xml:space="preserve">Nguyễn Mạnh Hùng</w:t>
            </w:r>
            <w:r>
              <w:rPr>
                <w:b/>
                <w:bCs/>
                <w:sz w:val="28"/>
                <w:szCs w:val="28"/>
                <w:highlight w:val="white"/>
              </w:rPr>
              <w:br/>
            </w:r>
            <w:r>
              <w:rPr>
                <w:sz w:val="28"/>
                <w:szCs w:val="28"/>
                <w:highlight w:val="white"/>
              </w:rPr>
              <w:br/>
            </w:r>
            <w:r>
              <w:rPr>
                <w:sz w:val="28"/>
                <w:szCs w:val="28"/>
                <w:highlight w:val="white"/>
              </w:rPr>
            </w:r>
            <w:r>
              <w:rPr>
                <w:sz w:val="28"/>
                <w:szCs w:val="28"/>
                <w:highlight w:val="white"/>
              </w:rPr>
            </w:r>
          </w:p>
        </w:tc>
      </w:tr>
    </w:tbl>
    <w:p>
      <w:pPr>
        <w:pBdr/>
        <w:tabs>
          <w:tab w:val="left" w:leader="none" w:pos="1500"/>
        </w:tabs>
        <w:spacing/>
        <w:ind/>
        <w:rPr>
          <w:b/>
          <w:sz w:val="28"/>
          <w:szCs w:val="28"/>
          <w:lang w:val="pl-PL"/>
        </w:rPr>
      </w:pPr>
      <w:r>
        <w:rPr>
          <w:b/>
          <w:sz w:val="28"/>
          <w:szCs w:val="28"/>
          <w:lang w:val="pl-PL"/>
        </w:rPr>
      </w:r>
      <w:r>
        <w:rPr>
          <w:b/>
          <w:sz w:val="28"/>
          <w:szCs w:val="28"/>
          <w:lang w:val="pl-PL"/>
        </w:rPr>
      </w:r>
      <w:r>
        <w:rPr>
          <w:b/>
          <w:sz w:val="28"/>
          <w:szCs w:val="28"/>
          <w:lang w:val="pl-PL"/>
        </w:rPr>
      </w:r>
    </w:p>
    <w:sectPr>
      <w:headerReference w:type="default" r:id="rId9"/>
      <w:footnotePr/>
      <w:endnotePr/>
      <w:type w:val="nextPage"/>
      <w:pgSz w:h="16838" w:orient="portrait" w:w="11906"/>
      <w:pgMar w:top="1134" w:right="1134" w:bottom="1134" w:left="1701" w:header="624" w:footer="624"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Symbol">
    <w:panose1 w:val="05050102010706020507"/>
  </w:font>
  <w:font w:name="Courier New">
    <w:panose1 w:val="02070309020205020404"/>
  </w:font>
  <w:font w:name="Times New Roman">
    <w:panose1 w:val="02020603050405020304"/>
  </w:font>
  <w:font w:name="Tahoma">
    <w:panose1 w:val="020B0604030504040204"/>
  </w:font>
  <w:font w:name="Verdana">
    <w:panose1 w:val="020B0604030504040204"/>
  </w:font>
  <w:font w:name="VNI-Times">
    <w:panose1 w:val="05040102010807070707"/>
  </w:font>
  <w:font w:name="Cambria">
    <w:panose1 w:val="02040503050406030204"/>
  </w:font>
  <w:font w:name="Calibri">
    <w:panose1 w:val="020F0502020204030204"/>
  </w:font>
  <w:font w:name="Times New Roman Bold">
    <w:panose1 w:val="020206030504050203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661583698"/>
      <w:docPartObj>
        <w:docPartGallery w:val="Page Numbers (Top of Page)"/>
        <w:docPartUnique w:val="true"/>
      </w:docPartObj>
      <w:rPr/>
    </w:sdtPr>
    <w:sdtContent>
      <w:p>
        <w:pPr>
          <w:pStyle w:val="929"/>
          <w:pBdr/>
          <w:spacing/>
          <w:ind/>
          <w:jc w:val="center"/>
          <w:rPr/>
        </w:pPr>
        <w:r>
          <w:fldChar w:fldCharType="begin"/>
        </w:r>
        <w:r>
          <w:instrText xml:space="preserve"> PAGE   \* MERGEFORMAT </w:instrText>
        </w:r>
        <w:r>
          <w:fldChar w:fldCharType="separate"/>
        </w:r>
        <w:r>
          <w:t xml:space="preserve">4</w:t>
        </w:r>
        <w:r>
          <w:fldChar w:fldCharType="end"/>
        </w:r>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tabs>
          <w:tab w:val="num" w:leader="none" w:pos="1800"/>
        </w:tabs>
        <w:spacing/>
        <w:ind w:hanging="360" w:left="1800"/>
      </w:pPr>
      <w:pStyle w:val="1050"/>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1">
    <w:lvl w:ilvl="0">
      <w:isLgl w:val="false"/>
      <w:lvlJc w:val="left"/>
      <w:lvlText w:val="%1."/>
      <w:numFmt w:val="decimal"/>
      <w:pPr>
        <w:pBdr/>
        <w:tabs>
          <w:tab w:val="num" w:leader="none" w:pos="1440"/>
        </w:tabs>
        <w:spacing/>
        <w:ind w:hanging="360" w:left="1440"/>
      </w:pPr>
      <w:pStyle w:val="1049"/>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2">
    <w:lvl w:ilvl="0">
      <w:isLgl w:val="false"/>
      <w:lvlJc w:val="left"/>
      <w:lvlText w:val="%1."/>
      <w:numFmt w:val="decimal"/>
      <w:pPr>
        <w:pBdr/>
        <w:tabs>
          <w:tab w:val="num" w:leader="none" w:pos="1080"/>
        </w:tabs>
        <w:spacing/>
        <w:ind w:hanging="360" w:left="1080"/>
      </w:pPr>
      <w:pStyle w:val="1048"/>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3">
    <w:lvl w:ilvl="0">
      <w:isLgl w:val="false"/>
      <w:lvlJc w:val="left"/>
      <w:lvlText w:val="%1."/>
      <w:numFmt w:val="decimal"/>
      <w:pPr>
        <w:pBdr/>
        <w:tabs>
          <w:tab w:val="num" w:leader="none" w:pos="720"/>
        </w:tabs>
        <w:spacing/>
        <w:ind w:hanging="360" w:left="720"/>
      </w:pPr>
      <w:pStyle w:val="1047"/>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4">
    <w:lvl w:ilvl="0">
      <w:isLgl w:val="false"/>
      <w:lvlJc w:val="left"/>
      <w:lvlText w:val=""/>
      <w:numFmt w:val="bullet"/>
      <w:pPr>
        <w:pBdr/>
        <w:tabs>
          <w:tab w:val="num" w:leader="none" w:pos="1800"/>
        </w:tabs>
        <w:spacing/>
        <w:ind w:hanging="360" w:left="1800"/>
      </w:pPr>
      <w:pStyle w:val="1040"/>
      <w:rPr>
        <w:rFonts w:hint="default" w:ascii="Symbol" w:hAnsi="Symbol"/>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5">
    <w:lvl w:ilvl="0">
      <w:isLgl w:val="false"/>
      <w:lvlJc w:val="left"/>
      <w:lvlText w:val=""/>
      <w:numFmt w:val="bullet"/>
      <w:pPr>
        <w:pBdr/>
        <w:tabs>
          <w:tab w:val="num" w:leader="none" w:pos="1440"/>
        </w:tabs>
        <w:spacing/>
        <w:ind w:hanging="360" w:left="1440"/>
      </w:pPr>
      <w:pStyle w:val="1039"/>
      <w:rPr>
        <w:rFonts w:hint="default" w:ascii="Symbol" w:hAnsi="Symbol"/>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6">
    <w:lvl w:ilvl="0">
      <w:isLgl w:val="false"/>
      <w:lvlJc w:val="left"/>
      <w:lvlText w:val=""/>
      <w:numFmt w:val="bullet"/>
      <w:pPr>
        <w:pBdr/>
        <w:tabs>
          <w:tab w:val="num" w:leader="none" w:pos="1080"/>
        </w:tabs>
        <w:spacing/>
        <w:ind w:hanging="360" w:left="1080"/>
      </w:pPr>
      <w:pStyle w:val="1038"/>
      <w:rPr>
        <w:rFonts w:hint="default" w:ascii="Symbol" w:hAnsi="Symbol"/>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7">
    <w:lvl w:ilvl="0">
      <w:isLgl w:val="false"/>
      <w:lvlJc w:val="left"/>
      <w:lvlText w:val=""/>
      <w:numFmt w:val="bullet"/>
      <w:pPr>
        <w:pBdr/>
        <w:tabs>
          <w:tab w:val="num" w:leader="none" w:pos="720"/>
        </w:tabs>
        <w:spacing/>
        <w:ind w:hanging="360" w:left="720"/>
      </w:pPr>
      <w:pStyle w:val="1037"/>
      <w:rPr>
        <w:rFonts w:hint="default" w:ascii="Symbol" w:hAnsi="Symbol"/>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8">
    <w:lvl w:ilvl="0">
      <w:isLgl w:val="false"/>
      <w:lvlJc w:val="left"/>
      <w:lvlText w:val="%1."/>
      <w:numFmt w:val="decimal"/>
      <w:pPr>
        <w:pBdr/>
        <w:tabs>
          <w:tab w:val="num" w:leader="none" w:pos="360"/>
        </w:tabs>
        <w:spacing/>
        <w:ind w:hanging="360" w:left="360"/>
      </w:pPr>
      <w:pStyle w:val="1046"/>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9">
    <w:lvl w:ilvl="0">
      <w:isLgl w:val="false"/>
      <w:lvlJc w:val="left"/>
      <w:lvlText w:val=""/>
      <w:numFmt w:val="bullet"/>
      <w:pPr>
        <w:pBdr/>
        <w:tabs>
          <w:tab w:val="num" w:leader="none" w:pos="360"/>
        </w:tabs>
        <w:spacing/>
        <w:ind w:hanging="360" w:left="360"/>
      </w:pPr>
      <w:pStyle w:val="1036"/>
      <w:rPr>
        <w:rFonts w:hint="default" w:ascii="Symbol" w:hAnsi="Symbol"/>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10">
    <w:styleLink w:val="995"/>
    <w:lvl w:ilvl="0">
      <w:isLgl w:val="false"/>
      <w:lvlJc w:val="left"/>
      <w:lvlText w:val="%1)"/>
      <w:numFmt w:val="decimal"/>
      <w:pPr>
        <w:pBdr/>
        <w:tabs>
          <w:tab w:val="num" w:leader="none" w:pos="360"/>
        </w:tabs>
        <w:spacing/>
        <w:ind w:hanging="360" w:left="360"/>
      </w:pPr>
      <w:pStyle w:val="995"/>
      <w:rPr/>
      <w:start w:val="1"/>
      <w:suff w:val="tab"/>
    </w:lvl>
    <w:lvl w:ilvl="1">
      <w:isLgl w:val="false"/>
      <w:lvlJc w:val="left"/>
      <w:lvlText w:val="%2)"/>
      <w:numFmt w:val="lowerLetter"/>
      <w:pPr>
        <w:pBdr/>
        <w:tabs>
          <w:tab w:val="num" w:leader="none" w:pos="720"/>
        </w:tabs>
        <w:spacing/>
        <w:ind w:hanging="360" w:left="720"/>
      </w:pPr>
      <w:rPr/>
      <w:start w:val="1"/>
      <w:suff w:val="tab"/>
    </w:lvl>
    <w:lvl w:ilvl="2">
      <w:isLgl w:val="false"/>
      <w:lvlJc w:val="left"/>
      <w:lvlText w:val="%3)"/>
      <w:numFmt w:val="lowerRoman"/>
      <w:pPr>
        <w:pBdr/>
        <w:tabs>
          <w:tab w:val="num" w:leader="none" w:pos="1080"/>
        </w:tabs>
        <w:spacing/>
        <w:ind w:hanging="360" w:left="1080"/>
      </w:pPr>
      <w:rPr/>
      <w:start w:val="1"/>
      <w:suff w:val="tab"/>
    </w:lvl>
    <w:lvl w:ilvl="3">
      <w:isLgl w:val="false"/>
      <w:lvlJc w:val="left"/>
      <w:lvlText w:val="(%4)"/>
      <w:numFmt w:val="decimal"/>
      <w:pPr>
        <w:pBdr/>
        <w:tabs>
          <w:tab w:val="num" w:leader="none" w:pos="1440"/>
        </w:tabs>
        <w:spacing/>
        <w:ind w:hanging="360" w:left="1440"/>
      </w:pPr>
      <w:rPr/>
      <w:start w:val="1"/>
      <w:suff w:val="tab"/>
    </w:lvl>
    <w:lvl w:ilvl="4">
      <w:isLgl w:val="false"/>
      <w:lvlJc w:val="left"/>
      <w:lvlText w:val="(%5)"/>
      <w:numFmt w:val="lowerLetter"/>
      <w:pPr>
        <w:pBdr/>
        <w:tabs>
          <w:tab w:val="num" w:leader="none" w:pos="1800"/>
        </w:tabs>
        <w:spacing/>
        <w:ind w:hanging="360" w:left="1800"/>
      </w:pPr>
      <w:rPr/>
      <w:start w:val="1"/>
      <w:suff w:val="tab"/>
    </w:lvl>
    <w:lvl w:ilvl="5">
      <w:isLgl w:val="false"/>
      <w:lvlJc w:val="left"/>
      <w:lvlText w:val="(%6)"/>
      <w:numFmt w:val="lowerRoman"/>
      <w:pPr>
        <w:pBdr/>
        <w:tabs>
          <w:tab w:val="num" w:leader="none" w:pos="2160"/>
        </w:tabs>
        <w:spacing/>
        <w:ind w:hanging="360" w:left="2160"/>
      </w:pPr>
      <w:rPr/>
      <w:start w:val="1"/>
      <w:suff w:val="tab"/>
    </w:lvl>
    <w:lvl w:ilvl="6">
      <w:isLgl w:val="false"/>
      <w:lvlJc w:val="left"/>
      <w:lvlText w:val="%7."/>
      <w:numFmt w:val="decimal"/>
      <w:pPr>
        <w:pBdr/>
        <w:tabs>
          <w:tab w:val="num" w:leader="none" w:pos="2520"/>
        </w:tabs>
        <w:spacing/>
        <w:ind w:hanging="360" w:left="2520"/>
      </w:pPr>
      <w:rPr/>
      <w:start w:val="1"/>
      <w:suff w:val="tab"/>
    </w:lvl>
    <w:lvl w:ilvl="7">
      <w:isLgl w:val="false"/>
      <w:lvlJc w:val="left"/>
      <w:lvlText w:val="%8."/>
      <w:numFmt w:val="lowerLetter"/>
      <w:pPr>
        <w:pBdr/>
        <w:tabs>
          <w:tab w:val="num" w:leader="none" w:pos="2880"/>
        </w:tabs>
        <w:spacing/>
        <w:ind w:hanging="360" w:left="2880"/>
      </w:pPr>
      <w:rPr/>
      <w:start w:val="1"/>
      <w:suff w:val="tab"/>
    </w:lvl>
    <w:lvl w:ilvl="8">
      <w:isLgl w:val="false"/>
      <w:lvlJc w:val="left"/>
      <w:lvlText w:val="%9."/>
      <w:numFmt w:val="lowerRoman"/>
      <w:pPr>
        <w:pBdr/>
        <w:tabs>
          <w:tab w:val="num" w:leader="none" w:pos="3240"/>
        </w:tabs>
        <w:spacing/>
        <w:ind w:hanging="360" w:left="3240"/>
      </w:pPr>
      <w:rPr/>
      <w:start w:val="1"/>
      <w:suff w:val="tab"/>
    </w:lvl>
  </w:abstractNum>
  <w:abstractNum w:abstractNumId="11">
    <w:lvl w:ilvl="0">
      <w:isLgl w:val="false"/>
      <w:lvlJc w:val="left"/>
      <w:lvlText w:val="Chöông %1   "/>
      <w:numFmt w:val="decimal"/>
      <w:pPr>
        <w:pBdr/>
        <w:tabs>
          <w:tab w:val="num" w:leader="none" w:pos="2470"/>
        </w:tabs>
        <w:spacing/>
        <w:ind w:hanging="1008" w:left="1318"/>
      </w:pPr>
      <w:rPr>
        <w:rFonts w:hint="default" w:ascii="VNI-Times" w:hAnsi="VNI-Times"/>
        <w:b/>
        <w:i w:val="0"/>
        <w:caps/>
        <w:sz w:val="30"/>
        <w:szCs w:val="30"/>
      </w:rPr>
      <w:start w:val="1"/>
      <w:suff w:val="tab"/>
    </w:lvl>
    <w:lvl w:ilvl="1">
      <w:isLgl w:val="false"/>
      <w:lvlJc w:val="left"/>
      <w:lvlText w:val="%2."/>
      <w:numFmt w:val="upperRoman"/>
      <w:pPr>
        <w:pBdr/>
        <w:tabs>
          <w:tab w:val="num" w:leader="none" w:pos="638"/>
        </w:tabs>
        <w:spacing/>
        <w:ind w:hanging="576" w:left="638"/>
      </w:pPr>
      <w:rPr>
        <w:rFonts w:hint="default"/>
      </w:rPr>
      <w:start w:val="1"/>
      <w:suff w:val="tab"/>
    </w:lvl>
    <w:lvl w:ilvl="2">
      <w:isLgl w:val="false"/>
      <w:lvlJc w:val="left"/>
      <w:lvlText w:val="1."/>
      <w:numFmt w:val="none"/>
      <w:pPr>
        <w:pBdr/>
        <w:tabs>
          <w:tab w:val="num" w:leader="none" w:pos="782"/>
        </w:tabs>
        <w:spacing/>
        <w:ind w:hanging="720" w:left="782"/>
      </w:pPr>
      <w:rPr>
        <w:rFonts w:hint="default"/>
      </w:rPr>
      <w:start w:val="1"/>
      <w:suff w:val="tab"/>
    </w:lvl>
    <w:lvl w:ilvl="3">
      <w:isLgl w:val="false"/>
      <w:lvlJc w:val="left"/>
      <w:lvlText w:val="%1.%2.%3.%4"/>
      <w:numFmt w:val="decimal"/>
      <w:pPr>
        <w:pBdr/>
        <w:tabs>
          <w:tab w:val="num" w:leader="none" w:pos="864"/>
        </w:tabs>
        <w:spacing/>
        <w:ind w:hanging="864" w:left="864"/>
      </w:pPr>
      <w:rPr>
        <w:rFonts w:hint="default"/>
      </w:rPr>
      <w:start w:val="1"/>
      <w:suff w:val="tab"/>
    </w:lvl>
    <w:lvl w:ilvl="4">
      <w:isLgl w:val="false"/>
      <w:lvlJc w:val="left"/>
      <w:lvlText w:val="%1.%2.%3.%4.%5"/>
      <w:numFmt w:val="decimal"/>
      <w:pPr>
        <w:pBdr/>
        <w:tabs>
          <w:tab w:val="num" w:leader="none" w:pos="1008"/>
        </w:tabs>
        <w:spacing/>
        <w:ind w:hanging="1008" w:left="1008"/>
      </w:pPr>
      <w:rPr>
        <w:rFonts w:hint="default"/>
      </w:rPr>
      <w:start w:val="1"/>
      <w:suff w:val="tab"/>
    </w:lvl>
    <w:lvl w:ilvl="5">
      <w:isLgl w:val="false"/>
      <w:lvlJc w:val="left"/>
      <w:lvlText w:val="%1.%2.%3.%4.%5.%6"/>
      <w:numFmt w:val="decimal"/>
      <w:pPr>
        <w:pBdr/>
        <w:tabs>
          <w:tab w:val="num" w:leader="none" w:pos="1152"/>
        </w:tabs>
        <w:spacing/>
        <w:ind w:hanging="1152" w:left="1152"/>
      </w:pPr>
      <w:rPr>
        <w:rFonts w:hint="default"/>
      </w:rPr>
      <w:start w:val="1"/>
      <w:suff w:val="tab"/>
    </w:lvl>
    <w:lvl w:ilvl="6">
      <w:isLgl w:val="false"/>
      <w:lvlJc w:val="left"/>
      <w:lvlText w:val="%1.%2.%3.%4.%5.%6.%7"/>
      <w:numFmt w:val="decimal"/>
      <w:pPr>
        <w:pBdr/>
        <w:tabs>
          <w:tab w:val="num" w:leader="none" w:pos="1296"/>
        </w:tabs>
        <w:spacing/>
        <w:ind w:hanging="1296" w:left="1296"/>
      </w:pPr>
      <w:rPr>
        <w:rFonts w:hint="default"/>
      </w:rPr>
      <w:start w:val="1"/>
      <w:suff w:val="tab"/>
    </w:lvl>
    <w:lvl w:ilvl="7">
      <w:isLgl w:val="false"/>
      <w:lvlJc w:val="left"/>
      <w:lvlText w:val="%1.%2.%3.%4.%5.%6.%7.%8"/>
      <w:numFmt w:val="decimal"/>
      <w:pPr>
        <w:pBdr/>
        <w:tabs>
          <w:tab w:val="num" w:leader="none" w:pos="1440"/>
        </w:tabs>
        <w:spacing/>
        <w:ind w:hanging="1440" w:left="1440"/>
      </w:pPr>
      <w:rPr>
        <w:rFonts w:hint="default"/>
      </w:rPr>
      <w:start w:val="1"/>
      <w:suff w:val="tab"/>
    </w:lvl>
    <w:lvl w:ilvl="8">
      <w:isLgl w:val="false"/>
      <w:lvlJc w:val="left"/>
      <w:lvlText w:val="%1.%2.%3.%4.%5.%6.%7.%8.%9"/>
      <w:numFmt w:val="decimal"/>
      <w:pPr>
        <w:pBdr/>
        <w:tabs>
          <w:tab w:val="num" w:leader="none" w:pos="1584"/>
        </w:tabs>
        <w:spacing/>
        <w:ind w:hanging="1584" w:left="1584"/>
      </w:pPr>
      <w:rPr>
        <w:rFonts w:hint="default"/>
      </w:rPr>
      <w:start w:val="1"/>
      <w:suff w:val="tab"/>
    </w:lvl>
  </w:abstractNum>
  <w:abstractNum w:abstractNumId="12">
    <w:lvl w:ilvl="0">
      <w:isLgl w:val="false"/>
      <w:lvlJc w:val="left"/>
      <w:lvlText w:val="-"/>
      <w:numFmt w:val="bullet"/>
      <w:pPr>
        <w:pBdr/>
        <w:tabs>
          <w:tab w:val="num" w:leader="none" w:pos="720"/>
        </w:tabs>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tabs>
          <w:tab w:val="num" w:leader="none" w:pos="1440"/>
        </w:tabs>
        <w:spacing/>
        <w:ind w:hanging="360" w:left="1440"/>
      </w:pPr>
      <w:rPr>
        <w:rFonts w:hint="default" w:ascii="Courier New" w:hAnsi="Courier New" w:cs="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cs="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cs="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13">
    <w:lvl w:ilvl="0">
      <w:isLgl w:val="false"/>
      <w:lvlJc w:val="left"/>
      <w:lvlText w:val="-"/>
      <w:numFmt w:val="bullet"/>
      <w:pPr>
        <w:pBdr/>
        <w:tabs>
          <w:tab w:val="num" w:leader="none" w:pos="1211"/>
        </w:tabs>
        <w:spacing/>
        <w:ind w:hanging="360" w:left="1211"/>
      </w:pPr>
      <w:rPr>
        <w:rFonts w:hint="default" w:ascii="Times New Roman" w:hAnsi="Times New Roman" w:eastAsia="Times New Roman"/>
      </w:rPr>
      <w:start w:val="1"/>
      <w:suff w:val="tab"/>
    </w:lvl>
    <w:lvl w:ilvl="1">
      <w:isLgl w:val="false"/>
      <w:lvlJc w:val="left"/>
      <w:lvlText w:val="o"/>
      <w:numFmt w:val="bullet"/>
      <w:pPr>
        <w:pBdr/>
        <w:tabs>
          <w:tab w:val="num" w:leader="none" w:pos="1800"/>
        </w:tabs>
        <w:spacing/>
        <w:ind w:hanging="360" w:left="1800"/>
      </w:pPr>
      <w:rPr>
        <w:rFonts w:hint="default" w:ascii="Courier New" w:hAnsi="Courier New" w:cs="Courier New"/>
      </w:rPr>
      <w:start w:val="1"/>
      <w:suff w:val="tab"/>
    </w:lvl>
    <w:lvl w:ilvl="2">
      <w:isLgl w:val="false"/>
      <w:lvlJc w:val="left"/>
      <w:lvlText w:val=""/>
      <w:numFmt w:val="bullet"/>
      <w:pPr>
        <w:pBdr/>
        <w:tabs>
          <w:tab w:val="num" w:leader="none" w:pos="2520"/>
        </w:tabs>
        <w:spacing/>
        <w:ind w:hanging="360" w:left="2520"/>
      </w:pPr>
      <w:rPr>
        <w:rFonts w:hint="default" w:ascii="Times New Roman" w:hAnsi="Times New Roman" w:cs="Times New Roman"/>
      </w:rPr>
      <w:start w:val="1"/>
      <w:suff w:val="tab"/>
    </w:lvl>
    <w:lvl w:ilvl="3">
      <w:isLgl w:val="false"/>
      <w:lvlJc w:val="left"/>
      <w:lvlText w:val=""/>
      <w:numFmt w:val="bullet"/>
      <w:pPr>
        <w:pBdr/>
        <w:tabs>
          <w:tab w:val="num" w:leader="none" w:pos="3240"/>
        </w:tabs>
        <w:spacing/>
        <w:ind w:hanging="360" w:left="3240"/>
      </w:pPr>
      <w:rPr>
        <w:rFonts w:hint="default" w:ascii="Times New Roman" w:hAnsi="Times New Roman" w:cs="Times New Roman"/>
      </w:rPr>
      <w:start w:val="1"/>
      <w:suff w:val="tab"/>
    </w:lvl>
    <w:lvl w:ilvl="4">
      <w:isLgl w:val="false"/>
      <w:lvlJc w:val="left"/>
      <w:lvlText w:val="o"/>
      <w:numFmt w:val="bullet"/>
      <w:pPr>
        <w:pBdr/>
        <w:tabs>
          <w:tab w:val="num" w:leader="none" w:pos="3960"/>
        </w:tabs>
        <w:spacing/>
        <w:ind w:hanging="360" w:left="3960"/>
      </w:pPr>
      <w:rPr>
        <w:rFonts w:hint="default" w:ascii="Courier New" w:hAnsi="Courier New" w:cs="Courier New"/>
      </w:rPr>
      <w:start w:val="1"/>
      <w:suff w:val="tab"/>
    </w:lvl>
    <w:lvl w:ilvl="5">
      <w:isLgl w:val="false"/>
      <w:lvlJc w:val="left"/>
      <w:lvlText w:val=""/>
      <w:numFmt w:val="bullet"/>
      <w:pPr>
        <w:pBdr/>
        <w:tabs>
          <w:tab w:val="num" w:leader="none" w:pos="4680"/>
        </w:tabs>
        <w:spacing/>
        <w:ind w:hanging="360" w:left="4680"/>
      </w:pPr>
      <w:rPr>
        <w:rFonts w:hint="default" w:ascii="Times New Roman" w:hAnsi="Times New Roman" w:cs="Times New Roman"/>
      </w:rPr>
      <w:start w:val="1"/>
      <w:suff w:val="tab"/>
    </w:lvl>
    <w:lvl w:ilvl="6">
      <w:isLgl w:val="false"/>
      <w:lvlJc w:val="left"/>
      <w:lvlText w:val=""/>
      <w:numFmt w:val="bullet"/>
      <w:pPr>
        <w:pBdr/>
        <w:tabs>
          <w:tab w:val="num" w:leader="none" w:pos="5400"/>
        </w:tabs>
        <w:spacing/>
        <w:ind w:hanging="360" w:left="5400"/>
      </w:pPr>
      <w:rPr>
        <w:rFonts w:hint="default" w:ascii="Times New Roman" w:hAnsi="Times New Roman" w:cs="Times New Roman"/>
      </w:rPr>
      <w:start w:val="1"/>
      <w:suff w:val="tab"/>
    </w:lvl>
    <w:lvl w:ilvl="7">
      <w:isLgl w:val="false"/>
      <w:lvlJc w:val="left"/>
      <w:lvlText w:val="o"/>
      <w:numFmt w:val="bullet"/>
      <w:pPr>
        <w:pBdr/>
        <w:tabs>
          <w:tab w:val="num" w:leader="none" w:pos="6120"/>
        </w:tabs>
        <w:spacing/>
        <w:ind w:hanging="360" w:left="6120"/>
      </w:pPr>
      <w:rPr>
        <w:rFonts w:hint="default" w:ascii="Courier New" w:hAnsi="Courier New" w:cs="Courier New"/>
      </w:rPr>
      <w:start w:val="1"/>
      <w:suff w:val="tab"/>
    </w:lvl>
    <w:lvl w:ilvl="8">
      <w:isLgl w:val="false"/>
      <w:lvlJc w:val="left"/>
      <w:lvlText w:val=""/>
      <w:numFmt w:val="bullet"/>
      <w:pPr>
        <w:pBdr/>
        <w:tabs>
          <w:tab w:val="num" w:leader="none" w:pos="6840"/>
        </w:tabs>
        <w:spacing/>
        <w:ind w:hanging="360" w:left="6840"/>
      </w:pPr>
      <w:rPr>
        <w:rFonts w:hint="default" w:ascii="Times New Roman" w:hAnsi="Times New Roman" w:cs="Times New Roman"/>
      </w:rPr>
      <w:start w:val="1"/>
      <w:suff w:val="tab"/>
    </w:lvl>
  </w:abstractNum>
  <w:abstractNum w:abstractNumId="14">
    <w:lvl w:ilvl="0">
      <w:isLgl w:val="false"/>
      <w:lvlJc w:val="left"/>
      <w:lvlText w:val="-"/>
      <w:numFmt w:val="bullet"/>
      <w:pPr>
        <w:pBdr/>
        <w:tabs>
          <w:tab w:val="num" w:leader="none" w:pos="1820"/>
        </w:tabs>
        <w:spacing/>
        <w:ind w:hanging="390" w:left="1820"/>
      </w:pPr>
      <w:rPr>
        <w:rFonts w:hint="default" w:ascii="Times New Roman" w:hAnsi="Times New Roman" w:eastAsia="Times New Roman" w:cs="Times New Roman"/>
      </w:rPr>
      <w:start w:val="0"/>
      <w:suff w:val="tab"/>
    </w:lvl>
    <w:lvl w:ilvl="1">
      <w:isLgl w:val="false"/>
      <w:lvlJc w:val="left"/>
      <w:lvlText w:val="o"/>
      <w:numFmt w:val="bullet"/>
      <w:pPr>
        <w:pBdr/>
        <w:tabs>
          <w:tab w:val="num" w:leader="none" w:pos="2480"/>
        </w:tabs>
        <w:spacing/>
        <w:ind w:hanging="360" w:left="2480"/>
      </w:pPr>
      <w:rPr>
        <w:rFonts w:hint="default" w:ascii="Courier New" w:hAnsi="Courier New" w:cs="Courier New"/>
      </w:rPr>
      <w:start w:val="1"/>
      <w:suff w:val="tab"/>
    </w:lvl>
    <w:lvl w:ilvl="2">
      <w:isLgl w:val="false"/>
      <w:lvlJc w:val="left"/>
      <w:lvlText w:val=""/>
      <w:numFmt w:val="bullet"/>
      <w:pPr>
        <w:pBdr/>
        <w:tabs>
          <w:tab w:val="num" w:leader="none" w:pos="3200"/>
        </w:tabs>
        <w:spacing/>
        <w:ind w:hanging="360" w:left="3200"/>
      </w:pPr>
      <w:rPr>
        <w:rFonts w:hint="default" w:ascii="Wingdings" w:hAnsi="Wingdings"/>
      </w:rPr>
      <w:start w:val="1"/>
      <w:suff w:val="tab"/>
    </w:lvl>
    <w:lvl w:ilvl="3">
      <w:isLgl w:val="false"/>
      <w:lvlJc w:val="left"/>
      <w:lvlText w:val=""/>
      <w:numFmt w:val="bullet"/>
      <w:pPr>
        <w:pBdr/>
        <w:tabs>
          <w:tab w:val="num" w:leader="none" w:pos="3920"/>
        </w:tabs>
        <w:spacing/>
        <w:ind w:hanging="360" w:left="3920"/>
      </w:pPr>
      <w:rPr>
        <w:rFonts w:hint="default" w:ascii="Symbol" w:hAnsi="Symbol"/>
      </w:rPr>
      <w:start w:val="1"/>
      <w:suff w:val="tab"/>
    </w:lvl>
    <w:lvl w:ilvl="4">
      <w:isLgl w:val="false"/>
      <w:lvlJc w:val="left"/>
      <w:lvlText w:val="o"/>
      <w:numFmt w:val="bullet"/>
      <w:pPr>
        <w:pBdr/>
        <w:tabs>
          <w:tab w:val="num" w:leader="none" w:pos="4640"/>
        </w:tabs>
        <w:spacing/>
        <w:ind w:hanging="360" w:left="4640"/>
      </w:pPr>
      <w:rPr>
        <w:rFonts w:hint="default" w:ascii="Courier New" w:hAnsi="Courier New" w:cs="Courier New"/>
      </w:rPr>
      <w:start w:val="1"/>
      <w:suff w:val="tab"/>
    </w:lvl>
    <w:lvl w:ilvl="5">
      <w:isLgl w:val="false"/>
      <w:lvlJc w:val="left"/>
      <w:lvlText w:val=""/>
      <w:numFmt w:val="bullet"/>
      <w:pPr>
        <w:pBdr/>
        <w:tabs>
          <w:tab w:val="num" w:leader="none" w:pos="5360"/>
        </w:tabs>
        <w:spacing/>
        <w:ind w:hanging="360" w:left="5360"/>
      </w:pPr>
      <w:rPr>
        <w:rFonts w:hint="default" w:ascii="Wingdings" w:hAnsi="Wingdings"/>
      </w:rPr>
      <w:start w:val="1"/>
      <w:suff w:val="tab"/>
    </w:lvl>
    <w:lvl w:ilvl="6">
      <w:isLgl w:val="false"/>
      <w:lvlJc w:val="left"/>
      <w:lvlText w:val=""/>
      <w:numFmt w:val="bullet"/>
      <w:pPr>
        <w:pBdr/>
        <w:tabs>
          <w:tab w:val="num" w:leader="none" w:pos="6080"/>
        </w:tabs>
        <w:spacing/>
        <w:ind w:hanging="360" w:left="6080"/>
      </w:pPr>
      <w:rPr>
        <w:rFonts w:hint="default" w:ascii="Symbol" w:hAnsi="Symbol"/>
      </w:rPr>
      <w:start w:val="1"/>
      <w:suff w:val="tab"/>
    </w:lvl>
    <w:lvl w:ilvl="7">
      <w:isLgl w:val="false"/>
      <w:lvlJc w:val="left"/>
      <w:lvlText w:val="o"/>
      <w:numFmt w:val="bullet"/>
      <w:pPr>
        <w:pBdr/>
        <w:tabs>
          <w:tab w:val="num" w:leader="none" w:pos="6800"/>
        </w:tabs>
        <w:spacing/>
        <w:ind w:hanging="360" w:left="6800"/>
      </w:pPr>
      <w:rPr>
        <w:rFonts w:hint="default" w:ascii="Courier New" w:hAnsi="Courier New" w:cs="Courier New"/>
      </w:rPr>
      <w:start w:val="1"/>
      <w:suff w:val="tab"/>
    </w:lvl>
    <w:lvl w:ilvl="8">
      <w:isLgl w:val="false"/>
      <w:lvlJc w:val="left"/>
      <w:lvlText w:val=""/>
      <w:numFmt w:val="bullet"/>
      <w:pPr>
        <w:pBdr/>
        <w:tabs>
          <w:tab w:val="num" w:leader="none" w:pos="7520"/>
        </w:tabs>
        <w:spacing/>
        <w:ind w:hanging="360" w:left="7520"/>
      </w:pPr>
      <w:rPr>
        <w:rFonts w:hint="default" w:ascii="Wingdings" w:hAnsi="Wingdings"/>
      </w:rPr>
      <w:start w:val="1"/>
      <w:suff w:val="tab"/>
    </w:lvl>
  </w:abstractNum>
  <w:abstractNum w:abstractNumId="15">
    <w:lvl w:ilvl="0">
      <w:isLgl w:val="false"/>
      <w:lvlJc w:val="left"/>
      <w:lvlText w:val="-"/>
      <w:numFmt w:val="bullet"/>
      <w:pPr>
        <w:pBdr/>
        <w:spacing/>
        <w:ind w:hanging="360" w:left="1353"/>
      </w:pPr>
      <w:rPr>
        <w:rFonts w:hint="default" w:ascii="Times New Roman" w:hAnsi="Times New Roman" w:eastAsia="Times New Roman" w:cs="Times New Roman"/>
      </w:rPr>
      <w:start w:val="0"/>
      <w:suff w:val="tab"/>
    </w:lvl>
    <w:lvl w:ilvl="1">
      <w:isLgl w:val="false"/>
      <w:lvlJc w:val="left"/>
      <w:lvlText w:val="o"/>
      <w:numFmt w:val="bullet"/>
      <w:pPr>
        <w:pBdr/>
        <w:spacing/>
        <w:ind w:hanging="360" w:left="2073"/>
      </w:pPr>
      <w:rPr>
        <w:rFonts w:hint="default" w:ascii="Courier New" w:hAnsi="Courier New" w:cs="Courier New"/>
      </w:rPr>
      <w:start w:val="1"/>
      <w:suff w:val="tab"/>
    </w:lvl>
    <w:lvl w:ilvl="2">
      <w:isLgl w:val="false"/>
      <w:lvlJc w:val="left"/>
      <w:lvlText w:val=""/>
      <w:numFmt w:val="bullet"/>
      <w:pPr>
        <w:pBdr/>
        <w:spacing/>
        <w:ind w:hanging="360" w:left="2793"/>
      </w:pPr>
      <w:rPr>
        <w:rFonts w:hint="default" w:ascii="Wingdings" w:hAnsi="Wingdings"/>
      </w:rPr>
      <w:start w:val="1"/>
      <w:suff w:val="tab"/>
    </w:lvl>
    <w:lvl w:ilvl="3">
      <w:isLgl w:val="false"/>
      <w:lvlJc w:val="left"/>
      <w:lvlText w:val=""/>
      <w:numFmt w:val="bullet"/>
      <w:pPr>
        <w:pBdr/>
        <w:spacing/>
        <w:ind w:hanging="360" w:left="3513"/>
      </w:pPr>
      <w:rPr>
        <w:rFonts w:hint="default" w:ascii="Symbol" w:hAnsi="Symbol"/>
      </w:rPr>
      <w:start w:val="1"/>
      <w:suff w:val="tab"/>
    </w:lvl>
    <w:lvl w:ilvl="4">
      <w:isLgl w:val="false"/>
      <w:lvlJc w:val="left"/>
      <w:lvlText w:val="o"/>
      <w:numFmt w:val="bullet"/>
      <w:pPr>
        <w:pBdr/>
        <w:spacing/>
        <w:ind w:hanging="360" w:left="4233"/>
      </w:pPr>
      <w:rPr>
        <w:rFonts w:hint="default" w:ascii="Courier New" w:hAnsi="Courier New" w:cs="Courier New"/>
      </w:rPr>
      <w:start w:val="1"/>
      <w:suff w:val="tab"/>
    </w:lvl>
    <w:lvl w:ilvl="5">
      <w:isLgl w:val="false"/>
      <w:lvlJc w:val="left"/>
      <w:lvlText w:val=""/>
      <w:numFmt w:val="bullet"/>
      <w:pPr>
        <w:pBdr/>
        <w:spacing/>
        <w:ind w:hanging="360" w:left="4953"/>
      </w:pPr>
      <w:rPr>
        <w:rFonts w:hint="default" w:ascii="Wingdings" w:hAnsi="Wingdings"/>
      </w:rPr>
      <w:start w:val="1"/>
      <w:suff w:val="tab"/>
    </w:lvl>
    <w:lvl w:ilvl="6">
      <w:isLgl w:val="false"/>
      <w:lvlJc w:val="left"/>
      <w:lvlText w:val=""/>
      <w:numFmt w:val="bullet"/>
      <w:pPr>
        <w:pBdr/>
        <w:spacing/>
        <w:ind w:hanging="360" w:left="5673"/>
      </w:pPr>
      <w:rPr>
        <w:rFonts w:hint="default" w:ascii="Symbol" w:hAnsi="Symbol"/>
      </w:rPr>
      <w:start w:val="1"/>
      <w:suff w:val="tab"/>
    </w:lvl>
    <w:lvl w:ilvl="7">
      <w:isLgl w:val="false"/>
      <w:lvlJc w:val="left"/>
      <w:lvlText w:val="o"/>
      <w:numFmt w:val="bullet"/>
      <w:pPr>
        <w:pBdr/>
        <w:spacing/>
        <w:ind w:hanging="360" w:left="6393"/>
      </w:pPr>
      <w:rPr>
        <w:rFonts w:hint="default" w:ascii="Courier New" w:hAnsi="Courier New" w:cs="Courier New"/>
      </w:rPr>
      <w:start w:val="1"/>
      <w:suff w:val="tab"/>
    </w:lvl>
    <w:lvl w:ilvl="8">
      <w:isLgl w:val="false"/>
      <w:lvlJc w:val="left"/>
      <w:lvlText w:val=""/>
      <w:numFmt w:val="bullet"/>
      <w:pPr>
        <w:pBdr/>
        <w:spacing/>
        <w:ind w:hanging="360" w:left="7113"/>
      </w:pPr>
      <w:rPr>
        <w:rFonts w:hint="default" w:ascii="Wingdings" w:hAnsi="Wingdings"/>
      </w:rPr>
      <w:start w:val="1"/>
      <w:suff w:val="tab"/>
    </w:lvl>
  </w:abstractNum>
  <w:abstractNum w:abstractNumId="16">
    <w:lvl w:ilvl="0">
      <w:isLgl w:val="false"/>
      <w:lvlJc w:val="left"/>
      <w:lvlText w:val="%1."/>
      <w:numFmt w:val="decimal"/>
      <w:pPr>
        <w:pBdr/>
        <w:tabs>
          <w:tab w:val="num" w:leader="none" w:pos="284"/>
        </w:tabs>
        <w:spacing/>
        <w:ind w:hanging="796" w:left="1156"/>
      </w:pPr>
      <w:rPr>
        <w:rFonts w:hint="default"/>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17">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lvl w:ilvl="0">
      <w:isLgl w:val="false"/>
      <w:lvlJc w:val="left"/>
      <w:lvlText w:val="%1.0"/>
      <w:numFmt w:val="decimal"/>
      <w:pPr>
        <w:pBdr/>
        <w:tabs>
          <w:tab w:val="num" w:leader="none" w:pos="567"/>
        </w:tabs>
        <w:spacing/>
        <w:ind w:hanging="567" w:left="567"/>
      </w:pPr>
      <w:pStyle w:val="962"/>
      <w:rPr>
        <w:rFonts w:hint="default" w:ascii="Arial" w:hAnsi="Arial" w:cs="Times New Roman"/>
        <w:b/>
        <w:i w:val="0"/>
        <w:sz w:val="24"/>
        <w:szCs w:val="24"/>
      </w:rPr>
      <w:start w:val="1"/>
      <w:suff w:val="tab"/>
    </w:lvl>
    <w:lvl w:ilvl="1">
      <w:isLgl w:val="false"/>
      <w:lvlJc w:val="left"/>
      <w:lvlText w:val="%1.%2"/>
      <w:numFmt w:val="decimal"/>
      <w:pPr>
        <w:pBdr/>
        <w:tabs>
          <w:tab w:val="num" w:leader="none" w:pos="567"/>
        </w:tabs>
        <w:spacing/>
        <w:ind w:hanging="567" w:left="567"/>
      </w:pPr>
      <w:pStyle w:val="963"/>
      <w:rPr>
        <w:rFonts w:hint="default" w:ascii="Arial" w:hAnsi="Arial" w:cs="Times New Roman"/>
        <w:b/>
        <w:i w:val="0"/>
        <w:sz w:val="22"/>
        <w:szCs w:val="22"/>
      </w:rPr>
      <w:start w:val="1"/>
      <w:suff w:val="tab"/>
    </w:lvl>
    <w:lvl w:ilvl="2">
      <w:isLgl w:val="false"/>
      <w:lvlJc w:val="left"/>
      <w:lvlText w:val="%1.%2.%3"/>
      <w:numFmt w:val="decimal"/>
      <w:pPr>
        <w:pBdr/>
        <w:tabs>
          <w:tab w:val="num" w:leader="none" w:pos="1304"/>
        </w:tabs>
        <w:spacing/>
        <w:ind w:hanging="737" w:left="1304"/>
      </w:pPr>
      <w:pStyle w:val="964"/>
      <w:rPr>
        <w:rFonts w:hint="default" w:ascii="Arial" w:hAnsi="Arial" w:cs="Times New Roman"/>
        <w:b/>
        <w:i w:val="0"/>
        <w:sz w:val="22"/>
        <w:szCs w:val="22"/>
      </w:rPr>
      <w:start w:val="1"/>
      <w:suff w:val="tab"/>
    </w:lvl>
    <w:lvl w:ilvl="3">
      <w:isLgl w:val="false"/>
      <w:lvlJc w:val="left"/>
      <w:lvlText w:val="%1.%2.%3.%4"/>
      <w:numFmt w:val="decimal"/>
      <w:pPr>
        <w:pBdr/>
        <w:tabs>
          <w:tab w:val="num" w:leader="none" w:pos="2126"/>
        </w:tabs>
        <w:spacing/>
        <w:ind w:hanging="850" w:left="2126"/>
      </w:pPr>
      <w:pStyle w:val="962"/>
      <w:rPr>
        <w:rFonts w:hint="default" w:ascii="Arial" w:hAnsi="Arial" w:cs="Times New Roman"/>
        <w:b/>
        <w:i w:val="0"/>
        <w:sz w:val="22"/>
        <w:szCs w:val="22"/>
      </w:rPr>
      <w:start w:val="1"/>
      <w:suff w:val="tab"/>
    </w:lvl>
    <w:lvl w:ilvl="4">
      <w:isLgl w:val="false"/>
      <w:lvlJc w:val="left"/>
      <w:lvlText w:val="%1.%2.%3.%4.%5"/>
      <w:numFmt w:val="decimal"/>
      <w:pPr>
        <w:pBdr/>
        <w:tabs>
          <w:tab w:val="num" w:leader="none" w:pos="1843"/>
        </w:tabs>
        <w:spacing/>
        <w:ind w:hanging="992" w:left="2835"/>
      </w:pPr>
      <w:pStyle w:val="965"/>
      <w:rPr>
        <w:rFonts w:hint="default" w:ascii="Arial" w:hAnsi="Arial" w:cs="Times New Roman"/>
        <w:b/>
        <w:i w:val="0"/>
        <w:sz w:val="22"/>
        <w:szCs w:val="22"/>
      </w:rPr>
      <w:start w:val="1"/>
      <w:suff w:val="tab"/>
    </w:lvl>
    <w:lvl w:ilvl="5">
      <w:isLgl w:val="false"/>
      <w:lvlJc w:val="left"/>
      <w:lvlText w:val="%1.%2.%3.%4.%5.%6."/>
      <w:numFmt w:val="decimal"/>
      <w:pPr>
        <w:pBdr/>
        <w:tabs>
          <w:tab w:val="num" w:leader="none" w:pos="4320"/>
        </w:tabs>
        <w:spacing/>
        <w:ind w:hanging="936" w:left="2736"/>
      </w:pPr>
      <w:rPr/>
      <w:start w:val="1"/>
      <w:suff w:val="tab"/>
    </w:lvl>
    <w:lvl w:ilvl="6">
      <w:isLgl w:val="false"/>
      <w:lvlJc w:val="left"/>
      <w:lvlText w:val="%1.%2.%3.%4.%5.%6.%7."/>
      <w:numFmt w:val="decimal"/>
      <w:pPr>
        <w:pBdr/>
        <w:tabs>
          <w:tab w:val="num" w:leader="none" w:pos="5040"/>
        </w:tabs>
        <w:spacing/>
        <w:ind w:hanging="1080" w:left="3240"/>
      </w:pPr>
      <w:rPr/>
      <w:start w:val="1"/>
      <w:suff w:val="tab"/>
    </w:lvl>
    <w:lvl w:ilvl="7">
      <w:isLgl w:val="false"/>
      <w:lvlJc w:val="left"/>
      <w:lvlText w:val="%1.%2.%3.%4.%5.%6.%7.%8."/>
      <w:numFmt w:val="decimal"/>
      <w:pPr>
        <w:pBdr/>
        <w:tabs>
          <w:tab w:val="num" w:leader="none" w:pos="5760"/>
        </w:tabs>
        <w:spacing/>
        <w:ind w:hanging="1224" w:left="3744"/>
      </w:pPr>
      <w:rPr/>
      <w:start w:val="1"/>
      <w:suff w:val="tab"/>
    </w:lvl>
    <w:lvl w:ilvl="8">
      <w:isLgl w:val="false"/>
      <w:lvlJc w:val="left"/>
      <w:lvlText w:val="%1.%2.%3.%4.%5.%6.%7.%8.%9."/>
      <w:numFmt w:val="decimal"/>
      <w:pPr>
        <w:pBdr/>
        <w:tabs>
          <w:tab w:val="num" w:leader="none" w:pos="6480"/>
        </w:tabs>
        <w:spacing/>
        <w:ind w:hanging="1440" w:left="4320"/>
      </w:pPr>
      <w:rPr/>
      <w:start w:val="1"/>
      <w:suff w:val="tab"/>
    </w:lvl>
  </w:abstractNum>
  <w:abstractNum w:abstractNumId="19">
    <w:lvl w:ilvl="0">
      <w:isLgl w:val="false"/>
      <w:lvlJc w:val="left"/>
      <w:lvlText w:val="%1)"/>
      <w:numFmt w:val="lowerLetter"/>
      <w:pPr>
        <w:pBdr/>
        <w:spacing/>
        <w:ind w:hanging="360" w:left="1069"/>
      </w:pPr>
      <w:rPr>
        <w:rFonts w:hint="default" w:ascii="Times New Roman" w:hAnsi="Times New Roman" w:cs="Times New Roman"/>
        <w:b/>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20">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21">
    <w:lvl w:ilvl="0">
      <w:isLgl w:val="false"/>
      <w:lvlJc w:val="left"/>
      <w:lvlText w:val="-"/>
      <w:numFmt w:val="bullet"/>
      <w:pPr>
        <w:pBdr/>
        <w:spacing/>
        <w:ind w:hanging="360" w:left="1779"/>
      </w:pPr>
      <w:pStyle w:val="970"/>
      <w:rPr>
        <w:rFonts w:hint="default" w:ascii="Times New Roman" w:hAnsi="Times New Roman" w:eastAsia="Times New Roman" w:cs="Times New Roman"/>
      </w:rPr>
      <w:start w:val="1"/>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2">
    <w:lvl w:ilvl="0">
      <w:isLgl w:val="false"/>
      <w:lvlJc w:val="right"/>
      <w:lvlText w:val="%1."/>
      <w:numFmt w:val="upperRoman"/>
      <w:pPr>
        <w:pBdr/>
        <w:spacing/>
        <w:ind w:hanging="360" w:left="720"/>
      </w:pPr>
      <w:rPr>
        <w:rFonts w:cs="Times New Roman"/>
      </w:rPr>
      <w:start w:val="1"/>
      <w:suff w:val="tab"/>
    </w:lvl>
    <w:lvl w:ilvl="1">
      <w:isLgl w:val="true"/>
      <w:lvlJc w:val="left"/>
      <w:lvlText w:val="%1.%2."/>
      <w:numFmt w:val="decimal"/>
      <w:pPr>
        <w:pBdr/>
        <w:spacing/>
        <w:ind w:hanging="390" w:left="750"/>
      </w:pPr>
      <w:rPr>
        <w:rFonts w:hint="default" w:cs="Times New Roman"/>
      </w:rPr>
      <w:start w:val="1"/>
      <w:suff w:val="tab"/>
    </w:lvl>
    <w:lvl w:ilvl="2">
      <w:isLgl w:val="true"/>
      <w:lvlJc w:val="left"/>
      <w:lvlText w:val="%1.%2.%3."/>
      <w:numFmt w:val="decimal"/>
      <w:pPr>
        <w:pBdr/>
        <w:spacing/>
        <w:ind w:hanging="720" w:left="1080"/>
      </w:pPr>
      <w:rPr>
        <w:rFonts w:hint="default" w:cs="Times New Roman"/>
      </w:rPr>
      <w:start w:val="1"/>
      <w:suff w:val="tab"/>
    </w:lvl>
    <w:lvl w:ilvl="3">
      <w:isLgl w:val="true"/>
      <w:lvlJc w:val="left"/>
      <w:lvlText w:val="%1.%2.%3.%4."/>
      <w:numFmt w:val="decimal"/>
      <w:pPr>
        <w:pBdr/>
        <w:spacing/>
        <w:ind w:hanging="720" w:left="1080"/>
      </w:pPr>
      <w:rPr>
        <w:rFonts w:hint="default" w:cs="Times New Roman"/>
      </w:rPr>
      <w:start w:val="1"/>
      <w:suff w:val="tab"/>
    </w:lvl>
    <w:lvl w:ilvl="4">
      <w:isLgl w:val="true"/>
      <w:lvlJc w:val="left"/>
      <w:lvlText w:val="%1.%2.%3.%4.%5."/>
      <w:numFmt w:val="decimal"/>
      <w:pPr>
        <w:pBdr/>
        <w:spacing/>
        <w:ind w:hanging="1080" w:left="1440"/>
      </w:pPr>
      <w:rPr>
        <w:rFonts w:hint="default" w:cs="Times New Roman"/>
      </w:rPr>
      <w:start w:val="1"/>
      <w:suff w:val="tab"/>
    </w:lvl>
    <w:lvl w:ilvl="5">
      <w:isLgl w:val="true"/>
      <w:lvlJc w:val="left"/>
      <w:lvlText w:val="%1.%2.%3.%4.%5.%6."/>
      <w:numFmt w:val="decimal"/>
      <w:pPr>
        <w:pBdr/>
        <w:spacing/>
        <w:ind w:hanging="1080" w:left="1440"/>
      </w:pPr>
      <w:rPr>
        <w:rFonts w:hint="default" w:cs="Times New Roman"/>
      </w:rPr>
      <w:start w:val="1"/>
      <w:suff w:val="tab"/>
    </w:lvl>
    <w:lvl w:ilvl="6">
      <w:isLgl w:val="true"/>
      <w:lvlJc w:val="left"/>
      <w:lvlText w:val="%1.%2.%3.%4.%5.%6.%7."/>
      <w:numFmt w:val="decimal"/>
      <w:pPr>
        <w:pBdr/>
        <w:spacing/>
        <w:ind w:hanging="1440" w:left="1800"/>
      </w:pPr>
      <w:rPr>
        <w:rFonts w:hint="default" w:cs="Times New Roman"/>
      </w:rPr>
      <w:start w:val="1"/>
      <w:suff w:val="tab"/>
    </w:lvl>
    <w:lvl w:ilvl="7">
      <w:isLgl w:val="true"/>
      <w:lvlJc w:val="left"/>
      <w:lvlText w:val="%1.%2.%3.%4.%5.%6.%7.%8."/>
      <w:numFmt w:val="decimal"/>
      <w:pPr>
        <w:pBdr/>
        <w:spacing/>
        <w:ind w:hanging="1440" w:left="1800"/>
      </w:pPr>
      <w:rPr>
        <w:rFonts w:hint="default" w:cs="Times New Roman"/>
      </w:rPr>
      <w:start w:val="1"/>
      <w:suff w:val="tab"/>
    </w:lvl>
    <w:lvl w:ilvl="8">
      <w:isLgl w:val="true"/>
      <w:lvlJc w:val="left"/>
      <w:lvlText w:val="%1.%2.%3.%4.%5.%6.%7.%8.%9."/>
      <w:numFmt w:val="decimal"/>
      <w:pPr>
        <w:pBdr/>
        <w:spacing/>
        <w:ind w:hanging="1800" w:left="2160"/>
      </w:pPr>
      <w:rPr>
        <w:rFonts w:hint="default" w:cs="Times New Roman"/>
      </w:rPr>
      <w:start w:val="1"/>
      <w:suff w:val="tab"/>
    </w:lvl>
  </w:abstractNum>
  <w:abstractNum w:abstractNumId="23">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24">
    <w:lvl w:ilvl="0">
      <w:isLgl w:val="false"/>
      <w:lvlJc w:val="left"/>
      <w:lvlText w:val="%1."/>
      <w:numFmt w:val="decimal"/>
      <w:pPr>
        <w:pBdr/>
        <w:spacing/>
        <w:ind w:hanging="360" w:left="1080"/>
      </w:pPr>
      <w:rPr>
        <w:rFonts w:hint="default"/>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5">
    <w:lvl w:ilvl="0">
      <w:isLgl w:val="false"/>
      <w:lvlJc w:val="left"/>
      <w:lvlText/>
      <w:numFmt w:val="none"/>
      <w:pPr>
        <w:pBdr/>
        <w:tabs>
          <w:tab w:val="num" w:leader="none" w:pos="360"/>
        </w:tabs>
        <w:spacing/>
        <w:ind/>
      </w:pPr>
      <w:rPr/>
      <w:start w:val="0"/>
      <w:suff w:val="tab"/>
    </w:lvl>
    <w:lvl w:ilvl="1">
      <w:isLgl w:val="false"/>
      <w:lvlJc w:val="left"/>
      <w:lvlText w:val="%1.%2"/>
      <w:numFmt w:val="decimal"/>
      <w:pPr>
        <w:pBdr/>
        <w:tabs>
          <w:tab w:val="num" w:leader="none" w:pos="1296"/>
        </w:tabs>
        <w:spacing/>
        <w:ind w:hanging="576" w:left="1296"/>
      </w:pPr>
      <w:rPr>
        <w:rFonts w:hint="default"/>
        <w:b/>
        <w:bCs/>
        <w:i w:val="0"/>
        <w:iCs w:val="0"/>
        <w:sz w:val="22"/>
        <w:szCs w:val="22"/>
      </w:rPr>
      <w:start w:val="1"/>
      <w:suff w:val="tab"/>
    </w:lvl>
    <w:lvl w:ilvl="2">
      <w:isLgl w:val="false"/>
      <w:lvlJc w:val="left"/>
      <w:lvlText w:val="%1.%2.%3"/>
      <w:numFmt w:val="decimal"/>
      <w:pPr>
        <w:pBdr/>
        <w:tabs>
          <w:tab w:val="num" w:leader="none" w:pos="720"/>
        </w:tabs>
        <w:spacing/>
        <w:ind w:hanging="720" w:left="720"/>
      </w:pPr>
      <w:rPr>
        <w:rFonts w:hint="default" w:ascii="Arial" w:hAnsi="Arial" w:cs="Arial"/>
        <w:b/>
        <w:bCs/>
        <w:i w:val="0"/>
        <w:iCs w:val="0"/>
        <w:sz w:val="22"/>
        <w:szCs w:val="22"/>
      </w:rPr>
      <w:start w:val="1"/>
      <w:suff w:val="tab"/>
    </w:lvl>
    <w:lvl w:ilvl="3">
      <w:isLgl w:val="false"/>
      <w:lvlJc w:val="left"/>
      <w:lvlText w:val="%1.%2.%3.%4"/>
      <w:numFmt w:val="decimal"/>
      <w:pPr>
        <w:pBdr/>
        <w:tabs>
          <w:tab w:val="num" w:leader="none" w:pos="864"/>
        </w:tabs>
        <w:spacing/>
        <w:ind w:hanging="864" w:left="864"/>
      </w:pPr>
      <w:rPr>
        <w:rFonts w:hint="default" w:ascii="Arial" w:hAnsi="Arial" w:cs="Arial"/>
        <w:b/>
        <w:bCs/>
        <w:i w:val="0"/>
        <w:iCs w:val="0"/>
        <w:sz w:val="22"/>
        <w:szCs w:val="22"/>
      </w:rPr>
      <w:start w:val="1"/>
      <w:suff w:val="tab"/>
    </w:lvl>
    <w:lvl w:ilvl="4">
      <w:isLgl w:val="false"/>
      <w:lvlJc w:val="left"/>
      <w:lvlText/>
      <w:numFmt w:val="none"/>
      <w:pPr>
        <w:pBdr/>
        <w:tabs>
          <w:tab w:val="num" w:leader="none" w:pos="360"/>
        </w:tabs>
        <w:spacing/>
        <w:ind/>
      </w:pPr>
      <w:rPr/>
      <w:start w:val="0"/>
      <w:suff w:val="tab"/>
    </w:lvl>
    <w:lvl w:ilvl="5">
      <w:isLgl w:val="false"/>
      <w:lvlJc w:val="left"/>
      <w:lvlText w:val="%1.%2.%3.%4.%5.%6"/>
      <w:numFmt w:val="decimal"/>
      <w:pPr>
        <w:pBdr/>
        <w:tabs>
          <w:tab w:val="num" w:leader="none" w:pos="1872"/>
        </w:tabs>
        <w:spacing/>
        <w:ind w:hanging="1152" w:left="1872"/>
      </w:pPr>
      <w:rPr>
        <w:rFonts w:hint="default"/>
      </w:rPr>
      <w:start w:val="1"/>
      <w:suff w:val="tab"/>
    </w:lvl>
    <w:lvl w:ilvl="6">
      <w:isLgl w:val="false"/>
      <w:lvlJc w:val="left"/>
      <w:lvlText/>
      <w:numFmt w:val="none"/>
      <w:pPr>
        <w:pBdr/>
        <w:tabs>
          <w:tab w:val="num" w:leader="none" w:pos="360"/>
        </w:tabs>
        <w:spacing/>
        <w:ind/>
      </w:pPr>
      <w:rPr/>
      <w:start w:val="0"/>
      <w:suff w:val="tab"/>
    </w:lvl>
    <w:lvl w:ilvl="7">
      <w:isLgl w:val="false"/>
      <w:lvlJc w:val="left"/>
      <w:lvlText w:val="%1.%2.%3.%4.%5.%6.%7.%8"/>
      <w:numFmt w:val="decimal"/>
      <w:pPr>
        <w:pBdr/>
        <w:tabs>
          <w:tab w:val="num" w:leader="none" w:pos="2160"/>
        </w:tabs>
        <w:spacing/>
        <w:ind w:hanging="1440" w:left="2160"/>
      </w:pPr>
      <w:rPr>
        <w:rFonts w:hint="default"/>
      </w:rPr>
      <w:start w:val="1"/>
      <w:suff w:val="tab"/>
    </w:lvl>
    <w:lvl w:ilvl="8">
      <w:isLgl w:val="false"/>
      <w:lvlJc w:val="left"/>
      <w:lvlText w:val="%1.%2.%3.%4.%5.%6.%7.%8.%9"/>
      <w:numFmt w:val="decimal"/>
      <w:pPr>
        <w:pBdr/>
        <w:tabs>
          <w:tab w:val="num" w:leader="none" w:pos="2304"/>
        </w:tabs>
        <w:spacing/>
        <w:ind w:hanging="1584" w:left="2304"/>
      </w:pPr>
      <w:rPr>
        <w:rFonts w:hint="default"/>
      </w:rPr>
      <w:start w:val="1"/>
      <w:suff w:val="tab"/>
    </w:lvl>
  </w:abstractNum>
  <w:abstractNum w:abstractNumId="26">
    <w:lvl w:ilvl="0">
      <w:isLgl w:val="false"/>
      <w:lvlJc w:val="left"/>
      <w:lvlText w:val="%1."/>
      <w:numFmt w:val="decimal"/>
      <w:pPr>
        <w:pBdr/>
        <w:tabs>
          <w:tab w:val="num" w:leader="none" w:pos="1418"/>
        </w:tabs>
        <w:spacing/>
        <w:ind w:hanging="681" w:left="1418"/>
      </w:pPr>
      <w:pStyle w:val="968"/>
      <w:rPr>
        <w:rFonts w:hint="default"/>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27">
    <w:styleLink w:val="996"/>
    <w:lvl w:ilvl="0">
      <w:isLgl w:val="false"/>
      <w:lvlJc w:val="left"/>
      <w:lvlText w:val="Article %1."/>
      <w:numFmt w:val="upperRoman"/>
      <w:pPr>
        <w:pBdr/>
        <w:tabs>
          <w:tab w:val="num" w:leader="none" w:pos="1800"/>
        </w:tabs>
        <w:spacing/>
        <w:ind w:firstLine="0" w:left="0"/>
      </w:pPr>
      <w:pStyle w:val="996"/>
      <w:rPr/>
      <w:start w:val="1"/>
      <w:suff w:val="tab"/>
    </w:lvl>
    <w:lvl w:ilvl="1">
      <w:isLgl w:val="true"/>
      <w:lvlJc w:val="left"/>
      <w:lvlText w:val="Section %1.%2"/>
      <w:numFmt w:val="decimalZero"/>
      <w:pPr>
        <w:pBdr/>
        <w:tabs>
          <w:tab w:val="num" w:leader="none" w:pos="1440"/>
        </w:tabs>
        <w:spacing/>
        <w:ind w:firstLine="0" w:left="0"/>
      </w:pPr>
      <w:rPr/>
      <w:start w:val="1"/>
      <w:suff w:val="tab"/>
    </w:lvl>
    <w:lvl w:ilvl="2">
      <w:isLgl w:val="false"/>
      <w:lvlJc w:val="left"/>
      <w:lvlText w:val="(%3)"/>
      <w:numFmt w:val="lowerLetter"/>
      <w:pPr>
        <w:pBdr/>
        <w:tabs>
          <w:tab w:val="num" w:leader="none" w:pos="720"/>
        </w:tabs>
        <w:spacing/>
        <w:ind w:hanging="432" w:left="720"/>
      </w:pPr>
      <w:rPr/>
      <w:start w:val="1"/>
      <w:suff w:val="tab"/>
    </w:lvl>
    <w:lvl w:ilvl="3">
      <w:isLgl w:val="false"/>
      <w:lvlJc w:val="right"/>
      <w:lvlText w:val="(%4)"/>
      <w:numFmt w:val="lowerRoman"/>
      <w:pPr>
        <w:pBdr/>
        <w:tabs>
          <w:tab w:val="num" w:leader="none" w:pos="864"/>
        </w:tabs>
        <w:spacing/>
        <w:ind w:hanging="144" w:left="864"/>
      </w:pPr>
      <w:rPr/>
      <w:start w:val="1"/>
      <w:suff w:val="tab"/>
    </w:lvl>
    <w:lvl w:ilvl="4">
      <w:isLgl w:val="false"/>
      <w:lvlJc w:val="left"/>
      <w:lvlText w:val="%5)"/>
      <w:numFmt w:val="decimal"/>
      <w:pPr>
        <w:pBdr/>
        <w:tabs>
          <w:tab w:val="num" w:leader="none" w:pos="1008"/>
        </w:tabs>
        <w:spacing/>
        <w:ind w:hanging="432" w:left="1008"/>
      </w:pPr>
      <w:rPr/>
      <w:start w:val="1"/>
      <w:suff w:val="tab"/>
    </w:lvl>
    <w:lvl w:ilvl="5">
      <w:isLgl w:val="false"/>
      <w:lvlJc w:val="left"/>
      <w:lvlText w:val="%6)"/>
      <w:numFmt w:val="lowerLetter"/>
      <w:pPr>
        <w:pBdr/>
        <w:tabs>
          <w:tab w:val="num" w:leader="none" w:pos="1152"/>
        </w:tabs>
        <w:spacing/>
        <w:ind w:hanging="432" w:left="1152"/>
      </w:pPr>
      <w:rPr/>
      <w:start w:val="1"/>
      <w:suff w:val="tab"/>
    </w:lvl>
    <w:lvl w:ilvl="6">
      <w:isLgl w:val="false"/>
      <w:lvlJc w:val="right"/>
      <w:lvlText w:val="%7)"/>
      <w:numFmt w:val="lowerRoman"/>
      <w:pPr>
        <w:pBdr/>
        <w:tabs>
          <w:tab w:val="num" w:leader="none" w:pos="1296"/>
        </w:tabs>
        <w:spacing/>
        <w:ind w:hanging="288" w:left="1296"/>
      </w:pPr>
      <w:rPr/>
      <w:start w:val="1"/>
      <w:suff w:val="tab"/>
    </w:lvl>
    <w:lvl w:ilvl="7">
      <w:isLgl w:val="false"/>
      <w:lvlJc w:val="left"/>
      <w:lvlText w:val="%8."/>
      <w:numFmt w:val="lowerLetter"/>
      <w:pPr>
        <w:pBdr/>
        <w:tabs>
          <w:tab w:val="num" w:leader="none" w:pos="1440"/>
        </w:tabs>
        <w:spacing/>
        <w:ind w:hanging="432" w:left="1440"/>
      </w:pPr>
      <w:rPr/>
      <w:start w:val="1"/>
      <w:suff w:val="tab"/>
    </w:lvl>
    <w:lvl w:ilvl="8">
      <w:isLgl w:val="false"/>
      <w:lvlJc w:val="right"/>
      <w:lvlText w:val="%9."/>
      <w:numFmt w:val="lowerRoman"/>
      <w:pPr>
        <w:pBdr/>
        <w:tabs>
          <w:tab w:val="num" w:leader="none" w:pos="1584"/>
        </w:tabs>
        <w:spacing/>
        <w:ind w:hanging="144" w:left="1584"/>
      </w:pPr>
      <w:rPr/>
      <w:start w:val="1"/>
      <w:suff w:val="tab"/>
    </w:lvl>
  </w:abstractNum>
  <w:abstractNum w:abstractNumId="28">
    <w:styleLink w:val="994"/>
    <w:lvl w:ilvl="0">
      <w:isLgl w:val="false"/>
      <w:lvlJc w:val="left"/>
      <w:lvlText w:val="%1."/>
      <w:numFmt w:val="decimal"/>
      <w:pPr>
        <w:pBdr/>
        <w:tabs>
          <w:tab w:val="num" w:leader="none" w:pos="360"/>
        </w:tabs>
        <w:spacing/>
        <w:ind w:hanging="360" w:left="360"/>
      </w:pPr>
      <w:pStyle w:val="994"/>
      <w:rPr/>
      <w:start w:val="1"/>
      <w:suff w:val="tab"/>
    </w:lvl>
    <w:lvl w:ilvl="1">
      <w:isLgl w:val="false"/>
      <w:lvlJc w:val="left"/>
      <w:lvlText w:val="%1.%2."/>
      <w:numFmt w:val="decimal"/>
      <w:pPr>
        <w:pBdr/>
        <w:tabs>
          <w:tab w:val="num" w:leader="none" w:pos="792"/>
        </w:tabs>
        <w:spacing/>
        <w:ind w:hanging="432" w:left="792"/>
      </w:pPr>
      <w:rPr/>
      <w:start w:val="1"/>
      <w:suff w:val="tab"/>
    </w:lvl>
    <w:lvl w:ilvl="2">
      <w:isLgl w:val="false"/>
      <w:lvlJc w:val="left"/>
      <w:lvlText w:val="%1.%2.%3."/>
      <w:numFmt w:val="decimal"/>
      <w:pPr>
        <w:pBdr/>
        <w:tabs>
          <w:tab w:val="num" w:leader="none" w:pos="1440"/>
        </w:tabs>
        <w:spacing/>
        <w:ind w:hanging="504" w:left="1224"/>
      </w:pPr>
      <w:rPr/>
      <w:start w:val="1"/>
      <w:suff w:val="tab"/>
    </w:lvl>
    <w:lvl w:ilvl="3">
      <w:isLgl w:val="false"/>
      <w:lvlJc w:val="left"/>
      <w:lvlText w:val="%1.%2.%3.%4."/>
      <w:numFmt w:val="decimal"/>
      <w:pPr>
        <w:pBdr/>
        <w:tabs>
          <w:tab w:val="num" w:leader="none" w:pos="2160"/>
        </w:tabs>
        <w:spacing/>
        <w:ind w:hanging="648" w:left="1728"/>
      </w:pPr>
      <w:rPr/>
      <w:start w:val="1"/>
      <w:suff w:val="tab"/>
    </w:lvl>
    <w:lvl w:ilvl="4">
      <w:isLgl w:val="false"/>
      <w:lvlJc w:val="left"/>
      <w:lvlText w:val="%1.%2.%3.%4.%5."/>
      <w:numFmt w:val="decimal"/>
      <w:pPr>
        <w:pBdr/>
        <w:tabs>
          <w:tab w:val="num" w:leader="none" w:pos="2520"/>
        </w:tabs>
        <w:spacing/>
        <w:ind w:hanging="792" w:left="2232"/>
      </w:pPr>
      <w:rPr/>
      <w:start w:val="1"/>
      <w:suff w:val="tab"/>
    </w:lvl>
    <w:lvl w:ilvl="5">
      <w:isLgl w:val="false"/>
      <w:lvlJc w:val="left"/>
      <w:lvlText w:val="%1.%2.%3.%4.%5.%6."/>
      <w:numFmt w:val="decimal"/>
      <w:pPr>
        <w:pBdr/>
        <w:tabs>
          <w:tab w:val="num" w:leader="none" w:pos="3240"/>
        </w:tabs>
        <w:spacing/>
        <w:ind w:hanging="936" w:left="2736"/>
      </w:pPr>
      <w:rPr/>
      <w:start w:val="1"/>
      <w:suff w:val="tab"/>
    </w:lvl>
    <w:lvl w:ilvl="6">
      <w:isLgl w:val="false"/>
      <w:lvlJc w:val="left"/>
      <w:lvlText w:val="%1.%2.%3.%4.%5.%6.%7."/>
      <w:numFmt w:val="decimal"/>
      <w:pPr>
        <w:pBdr/>
        <w:tabs>
          <w:tab w:val="num" w:leader="none" w:pos="3960"/>
        </w:tabs>
        <w:spacing/>
        <w:ind w:hanging="1080" w:left="3240"/>
      </w:pPr>
      <w:rPr/>
      <w:start w:val="1"/>
      <w:suff w:val="tab"/>
    </w:lvl>
    <w:lvl w:ilvl="7">
      <w:isLgl w:val="false"/>
      <w:lvlJc w:val="left"/>
      <w:lvlText w:val="%1.%2.%3.%4.%5.%6.%7.%8."/>
      <w:numFmt w:val="decimal"/>
      <w:pPr>
        <w:pBdr/>
        <w:tabs>
          <w:tab w:val="num" w:leader="none" w:pos="4320"/>
        </w:tabs>
        <w:spacing/>
        <w:ind w:hanging="1224" w:left="3744"/>
      </w:pPr>
      <w:rPr/>
      <w:start w:val="1"/>
      <w:suff w:val="tab"/>
    </w:lvl>
    <w:lvl w:ilvl="8">
      <w:isLgl w:val="false"/>
      <w:lvlJc w:val="left"/>
      <w:lvlText w:val="%1.%2.%3.%4.%5.%6.%7.%8.%9."/>
      <w:numFmt w:val="decimal"/>
      <w:pPr>
        <w:pBdr/>
        <w:tabs>
          <w:tab w:val="num" w:leader="none" w:pos="5040"/>
        </w:tabs>
        <w:spacing/>
        <w:ind w:hanging="1440" w:left="4320"/>
      </w:pPr>
      <w:rPr/>
      <w:start w:val="1"/>
      <w:suff w:val="tab"/>
    </w:lvl>
  </w:abstractNum>
  <w:num w:numId="1">
    <w:abstractNumId w:val="11"/>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num>
  <w:num w:numId="4">
    <w:abstractNumId w:val="12"/>
  </w:num>
  <w:num w:numId="5">
    <w:abstractNumId w:val="21"/>
  </w:num>
  <w:num w:numId="6">
    <w:abstractNumId w:val="28"/>
  </w:num>
  <w:num w:numId="7">
    <w:abstractNumId w:val="10"/>
  </w:num>
  <w:num w:numId="8">
    <w:abstractNumId w:val="27"/>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 w:numId="20">
    <w:abstractNumId w:val="14"/>
  </w:num>
  <w:num w:numId="21">
    <w:abstractNumId w:val="25"/>
  </w:num>
  <w:num w:numId="22">
    <w:abstractNumId w:val="18"/>
  </w:num>
  <w:num w:numId="23">
    <w:abstractNumId w:val="22"/>
  </w:num>
  <w:num w:numId="24">
    <w:abstractNumId w:val="17"/>
  </w:num>
  <w:num w:numId="25">
    <w:abstractNumId w:val="13"/>
  </w:num>
  <w:num w:numId="26">
    <w:abstractNumId w:val="19"/>
  </w:num>
  <w:num w:numId="27">
    <w:abstractNumId w:val="24"/>
  </w:num>
  <w:num w:numId="28">
    <w:abstractNumId w:val="23"/>
  </w:num>
  <w:num w:numId="29">
    <w:abstractNumId w:val="15"/>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76">
    <w:name w:val="Table Grid Light"/>
    <w:basedOn w:val="925"/>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Plain Table 1"/>
    <w:basedOn w:val="925"/>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Plain Table 2"/>
    <w:basedOn w:val="925"/>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Plain Table 3"/>
    <w:basedOn w:val="9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Plain Table 4"/>
    <w:basedOn w:val="9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Plain Table 5"/>
    <w:basedOn w:val="9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1 Light"/>
    <w:basedOn w:val="92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1 Light - Accent 1"/>
    <w:basedOn w:val="9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1 Light - Accent 2"/>
    <w:basedOn w:val="9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1 Light - Accent 3"/>
    <w:basedOn w:val="9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1 Light - Accent 4"/>
    <w:basedOn w:val="9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1 Light - Accent 5"/>
    <w:basedOn w:val="9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1 Light - Accent 6"/>
    <w:basedOn w:val="9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2"/>
    <w:basedOn w:val="9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2 - Accent 1"/>
    <w:basedOn w:val="9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2 - Accent 2"/>
    <w:basedOn w:val="9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2 - Accent 3"/>
    <w:basedOn w:val="9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2 - Accent 4"/>
    <w:basedOn w:val="9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2 - Accent 5"/>
    <w:basedOn w:val="9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2 - Accent 6"/>
    <w:basedOn w:val="9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3"/>
    <w:basedOn w:val="9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3 - Accent 1"/>
    <w:basedOn w:val="9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3 - Accent 2"/>
    <w:basedOn w:val="9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3 - Accent 3"/>
    <w:basedOn w:val="9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3 - Accent 4"/>
    <w:basedOn w:val="9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3 - Accent 5"/>
    <w:basedOn w:val="9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3 - Accent 6"/>
    <w:basedOn w:val="9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4"/>
    <w:basedOn w:val="92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4 - Accent 1"/>
    <w:basedOn w:val="92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4 - Accent 2"/>
    <w:basedOn w:val="92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4 - Accent 3"/>
    <w:basedOn w:val="92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4 - Accent 4"/>
    <w:basedOn w:val="92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4 - Accent 5"/>
    <w:basedOn w:val="92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4 - Accent 6"/>
    <w:basedOn w:val="92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5 Dark"/>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5 Dark- Accent 1"/>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5 Dark - Accent 2"/>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5 Dark - Accent 3"/>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5 Dark- Accent 4"/>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5 Dark - Accent 5"/>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5 Dark - Accent 6"/>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6 Colorful"/>
    <w:basedOn w:val="92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18">
    <w:name w:val="Grid Table 6 Colorful - Accent 1"/>
    <w:basedOn w:val="92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19">
    <w:name w:val="Grid Table 6 Colorful - Accent 2"/>
    <w:basedOn w:val="9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20">
    <w:name w:val="Grid Table 6 Colorful - Accent 3"/>
    <w:basedOn w:val="92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21">
    <w:name w:val="Grid Table 6 Colorful - Accent 4"/>
    <w:basedOn w:val="9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22">
    <w:name w:val="Grid Table 6 Colorful - Accent 5"/>
    <w:basedOn w:val="92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23">
    <w:name w:val="Grid Table 6 Colorful - Accent 6"/>
    <w:basedOn w:val="92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24">
    <w:name w:val="Grid Table 7 Colorful"/>
    <w:basedOn w:val="92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7 Colorful - Accent 1"/>
    <w:basedOn w:val="92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7 Colorful - Accent 2"/>
    <w:basedOn w:val="92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7 Colorful - Accent 3"/>
    <w:basedOn w:val="92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7 Colorful - Accent 4"/>
    <w:basedOn w:val="92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7 Colorful - Accent 5"/>
    <w:basedOn w:val="92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7 Colorful - Accent 6"/>
    <w:basedOn w:val="92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1 Light"/>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1 Light - Accent 1"/>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1 Light - Accent 2"/>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1 Light - Accent 3"/>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1 Light - Accent 4"/>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1 Light - Accent 5"/>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1 Light - Accent 6"/>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2"/>
    <w:basedOn w:val="92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2 - Accent 1"/>
    <w:basedOn w:val="92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2 - Accent 2"/>
    <w:basedOn w:val="92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2 - Accent 3"/>
    <w:basedOn w:val="92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2 - Accent 4"/>
    <w:basedOn w:val="92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2 - Accent 5"/>
    <w:basedOn w:val="92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st Table 2 - Accent 6"/>
    <w:basedOn w:val="92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st Table 3"/>
    <w:basedOn w:val="9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3 - Accent 1"/>
    <w:basedOn w:val="92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st Table 3 - Accent 2"/>
    <w:basedOn w:val="9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3 - Accent 3"/>
    <w:basedOn w:val="92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st Table 3 - Accent 4"/>
    <w:basedOn w:val="9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st Table 3 - Accent 5"/>
    <w:basedOn w:val="92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st Table 3 - Accent 6"/>
    <w:basedOn w:val="92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st Table 4"/>
    <w:basedOn w:val="9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4 - Accent 1"/>
    <w:basedOn w:val="92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4 - Accent 2"/>
    <w:basedOn w:val="92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4 - Accent 3"/>
    <w:basedOn w:val="92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4 - Accent 4"/>
    <w:basedOn w:val="92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4 - Accent 5"/>
    <w:basedOn w:val="92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4 - Accent 6"/>
    <w:basedOn w:val="92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5 Dark"/>
    <w:basedOn w:val="92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0">
    <w:name w:val="List Table 5 Dark - Accent 1"/>
    <w:basedOn w:val="92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1">
    <w:name w:val="List Table 5 Dark - Accent 2"/>
    <w:basedOn w:val="92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2">
    <w:name w:val="List Table 5 Dark - Accent 3"/>
    <w:basedOn w:val="92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3">
    <w:name w:val="List Table 5 Dark - Accent 4"/>
    <w:basedOn w:val="92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4">
    <w:name w:val="List Table 5 Dark - Accent 5"/>
    <w:basedOn w:val="92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5">
    <w:name w:val="List Table 5 Dark - Accent 6"/>
    <w:basedOn w:val="92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6">
    <w:name w:val="List Table 6 Colorful"/>
    <w:basedOn w:val="92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6 Colorful - Accent 1"/>
    <w:basedOn w:val="92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6 Colorful - Accent 2"/>
    <w:basedOn w:val="92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6 Colorful - Accent 3"/>
    <w:basedOn w:val="92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6 Colorful - Accent 4"/>
    <w:basedOn w:val="92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6 Colorful - Accent 5"/>
    <w:basedOn w:val="92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ba0" w:themeColor="accent5" w:themeTint="9A" w:themeShade="95"/>
      </w:rPr>
      <w:pPr>
        <w:pBdr/>
        <w:spacing/>
        <w:ind/>
      </w:pPr>
      <w:tblPr>
        <w:tblBorders/>
      </w:tblPr>
      <w:tcPr>
        <w:tcBorders/>
      </w:tcPr>
    </w:tblStylePr>
    <w:tblStylePr w:type="firstRow">
      <w:rPr>
        <w:b/>
        <w:color w:val="335ba0" w:themeColor="accent5" w:themeTint="9A" w:themeShade="95"/>
      </w:rPr>
      <w:pPr>
        <w:pBdr/>
        <w:spacing/>
        <w:ind/>
      </w:pPr>
      <w:tblPr>
        <w:tblBorders/>
      </w:tblPr>
      <w:tcPr>
        <w:tcBorders>
          <w:bottom w:val="single" w:color="000000" w:themeColor="accent5" w:themeTint="9A" w:sz="4" w:space="0"/>
        </w:tcBorders>
      </w:tcPr>
    </w:tblStylePr>
    <w:tblStylePr w:type="lastCol">
      <w:rPr>
        <w:b/>
        <w:color w:val="335ba0" w:themeColor="accent5" w:themeTint="9A" w:themeShade="95"/>
      </w:rPr>
      <w:pPr>
        <w:pBdr/>
        <w:spacing/>
        <w:ind/>
      </w:pPr>
      <w:tblPr>
        <w:tblBorders/>
      </w:tblPr>
      <w:tcPr>
        <w:tcBorders/>
      </w:tcPr>
    </w:tblStylePr>
    <w:tblStylePr w:type="lastRow">
      <w:rPr>
        <w:b/>
        <w:color w:val="335ba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6 Colorful - Accent 6"/>
    <w:basedOn w:val="92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7 Colorful"/>
    <w:basedOn w:val="92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74">
    <w:name w:val="List Table 7 Colorful - Accent 1"/>
    <w:basedOn w:val="92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75">
    <w:name w:val="List Table 7 Colorful - Accent 2"/>
    <w:basedOn w:val="92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876">
    <w:name w:val="List Table 7 Colorful - Accent 3"/>
    <w:basedOn w:val="92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877">
    <w:name w:val="List Table 7 Colorful - Accent 4"/>
    <w:basedOn w:val="92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78">
    <w:name w:val="List Table 7 Colorful - Accent 5"/>
    <w:basedOn w:val="92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ba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ba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ba0"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ba0"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ba0" w:themeColor="accent5" w:themeTint="9A" w:themeShade="95"/>
        <w:sz w:val="22"/>
      </w:rPr>
      <w:pPr>
        <w:pBdr/>
        <w:spacing/>
        <w:ind/>
      </w:pPr>
      <w:tblPr>
        <w:tblBorders/>
      </w:tblPr>
      <w:tcPr>
        <w:tcBorders/>
      </w:tcPr>
    </w:tblStylePr>
  </w:style>
  <w:style w:type="table" w:styleId="879">
    <w:name w:val="List Table 7 Colorful - Accent 6"/>
    <w:basedOn w:val="92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80">
    <w:name w:val="Lined - Accent"/>
    <w:basedOn w:val="9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ned - Accent 1"/>
    <w:basedOn w:val="9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ned - Accent 2"/>
    <w:basedOn w:val="9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ned - Accent 3"/>
    <w:basedOn w:val="9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ned - Accent 4"/>
    <w:basedOn w:val="9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ned - Accent 5"/>
    <w:basedOn w:val="9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ned - Accent 6"/>
    <w:basedOn w:val="9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Bordered &amp; Lined - Accent"/>
    <w:basedOn w:val="92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Bordered &amp; Lined - Accent 1"/>
    <w:basedOn w:val="92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Bordered &amp; Lined - Accent 2"/>
    <w:basedOn w:val="92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Bordered &amp; Lined - Accent 3"/>
    <w:basedOn w:val="92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Bordered &amp; Lined - Accent 4"/>
    <w:basedOn w:val="92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Bordered &amp; Lined - Accent 5"/>
    <w:basedOn w:val="92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Bordered &amp; Lined - Accent 6"/>
    <w:basedOn w:val="92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Bordered"/>
    <w:basedOn w:val="92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Bordered - Accent 1"/>
    <w:basedOn w:val="9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Bordered - Accent 2"/>
    <w:basedOn w:val="9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Bordered - Accent 3"/>
    <w:basedOn w:val="9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Bordered - Accent 4"/>
    <w:basedOn w:val="9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Bordered - Accent 5"/>
    <w:basedOn w:val="9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Bordered - Accent 6"/>
    <w:basedOn w:val="9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01">
    <w:name w:val="Quote"/>
    <w:basedOn w:val="914"/>
    <w:next w:val="914"/>
    <w:link w:val="902"/>
    <w:uiPriority w:val="29"/>
    <w:qFormat/>
    <w:pPr>
      <w:pBdr/>
      <w:spacing w:before="160"/>
      <w:ind/>
      <w:jc w:val="center"/>
    </w:pPr>
    <w:rPr>
      <w:i/>
      <w:iCs/>
      <w:color w:val="404040" w:themeColor="text1" w:themeTint="BF"/>
    </w:rPr>
  </w:style>
  <w:style w:type="character" w:styleId="902">
    <w:name w:val="Quote Char"/>
    <w:basedOn w:val="924"/>
    <w:link w:val="901"/>
    <w:uiPriority w:val="29"/>
    <w:pPr>
      <w:pBdr/>
      <w:spacing/>
      <w:ind/>
    </w:pPr>
    <w:rPr>
      <w:i/>
      <w:iCs/>
      <w:color w:val="404040" w:themeColor="text1" w:themeTint="BF"/>
    </w:rPr>
  </w:style>
  <w:style w:type="character" w:styleId="903">
    <w:name w:val="Intense Emphasis"/>
    <w:basedOn w:val="924"/>
    <w:uiPriority w:val="21"/>
    <w:qFormat/>
    <w:pPr>
      <w:pBdr/>
      <w:spacing/>
      <w:ind/>
    </w:pPr>
    <w:rPr>
      <w:i/>
      <w:iCs/>
      <w:color w:val="0f4761" w:themeColor="accent1" w:themeShade="BF"/>
    </w:rPr>
  </w:style>
  <w:style w:type="paragraph" w:styleId="904">
    <w:name w:val="Intense Quote"/>
    <w:basedOn w:val="914"/>
    <w:next w:val="914"/>
    <w:link w:val="90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05">
    <w:name w:val="Intense Quote Char"/>
    <w:basedOn w:val="924"/>
    <w:link w:val="904"/>
    <w:uiPriority w:val="30"/>
    <w:pPr>
      <w:pBdr/>
      <w:spacing/>
      <w:ind/>
    </w:pPr>
    <w:rPr>
      <w:i/>
      <w:iCs/>
      <w:color w:val="0f4761" w:themeColor="accent1" w:themeShade="BF"/>
    </w:rPr>
  </w:style>
  <w:style w:type="character" w:styleId="906">
    <w:name w:val="Intense Reference"/>
    <w:basedOn w:val="924"/>
    <w:uiPriority w:val="32"/>
    <w:qFormat/>
    <w:pPr>
      <w:pBdr/>
      <w:spacing/>
      <w:ind/>
    </w:pPr>
    <w:rPr>
      <w:b/>
      <w:bCs/>
      <w:smallCaps/>
      <w:color w:val="0f4761" w:themeColor="accent1" w:themeShade="BF"/>
      <w:spacing w:val="5"/>
    </w:rPr>
  </w:style>
  <w:style w:type="paragraph" w:styleId="907">
    <w:name w:val="No Spacing"/>
    <w:basedOn w:val="914"/>
    <w:uiPriority w:val="1"/>
    <w:qFormat/>
    <w:pPr>
      <w:pBdr/>
      <w:spacing w:after="0" w:line="240" w:lineRule="auto"/>
      <w:ind/>
    </w:pPr>
  </w:style>
  <w:style w:type="character" w:styleId="908">
    <w:name w:val="Subtle Emphasis"/>
    <w:basedOn w:val="924"/>
    <w:uiPriority w:val="19"/>
    <w:qFormat/>
    <w:pPr>
      <w:pBdr/>
      <w:spacing/>
      <w:ind/>
    </w:pPr>
    <w:rPr>
      <w:i/>
      <w:iCs/>
      <w:color w:val="404040" w:themeColor="text1" w:themeTint="BF"/>
    </w:rPr>
  </w:style>
  <w:style w:type="character" w:styleId="909">
    <w:name w:val="Subtle Reference"/>
    <w:basedOn w:val="924"/>
    <w:uiPriority w:val="31"/>
    <w:qFormat/>
    <w:pPr>
      <w:pBdr/>
      <w:spacing/>
      <w:ind/>
    </w:pPr>
    <w:rPr>
      <w:smallCaps/>
      <w:color w:val="5a5a5a" w:themeColor="text1" w:themeTint="A5"/>
    </w:rPr>
  </w:style>
  <w:style w:type="character" w:styleId="910">
    <w:name w:val="Book Title"/>
    <w:basedOn w:val="924"/>
    <w:uiPriority w:val="33"/>
    <w:qFormat/>
    <w:pPr>
      <w:pBdr/>
      <w:spacing/>
      <w:ind/>
    </w:pPr>
    <w:rPr>
      <w:b/>
      <w:bCs/>
      <w:i/>
      <w:iCs/>
      <w:spacing w:val="5"/>
    </w:rPr>
  </w:style>
  <w:style w:type="paragraph" w:styleId="911">
    <w:name w:val="endnote text"/>
    <w:basedOn w:val="914"/>
    <w:link w:val="912"/>
    <w:uiPriority w:val="99"/>
    <w:semiHidden/>
    <w:unhideWhenUsed/>
    <w:pPr>
      <w:pBdr/>
      <w:spacing w:after="0" w:line="240" w:lineRule="auto"/>
      <w:ind/>
    </w:pPr>
    <w:rPr>
      <w:sz w:val="20"/>
      <w:szCs w:val="20"/>
    </w:rPr>
  </w:style>
  <w:style w:type="character" w:styleId="912">
    <w:name w:val="Endnote Text Char"/>
    <w:basedOn w:val="924"/>
    <w:link w:val="911"/>
    <w:uiPriority w:val="99"/>
    <w:semiHidden/>
    <w:pPr>
      <w:pBdr/>
      <w:spacing/>
      <w:ind/>
    </w:pPr>
    <w:rPr>
      <w:sz w:val="20"/>
      <w:szCs w:val="20"/>
    </w:rPr>
  </w:style>
  <w:style w:type="character" w:styleId="913">
    <w:name w:val="endnote reference"/>
    <w:basedOn w:val="924"/>
    <w:uiPriority w:val="99"/>
    <w:semiHidden/>
    <w:unhideWhenUsed/>
    <w:pPr>
      <w:pBdr/>
      <w:spacing/>
      <w:ind/>
    </w:pPr>
    <w:rPr>
      <w:vertAlign w:val="superscript"/>
    </w:rPr>
  </w:style>
  <w:style w:type="paragraph" w:styleId="914" w:default="1">
    <w:name w:val="Normal"/>
    <w:qFormat/>
    <w:pPr>
      <w:pBdr/>
      <w:spacing/>
      <w:ind/>
    </w:pPr>
    <w:rPr>
      <w:sz w:val="24"/>
      <w:szCs w:val="24"/>
    </w:rPr>
  </w:style>
  <w:style w:type="paragraph" w:styleId="915">
    <w:name w:val="Heading 1"/>
    <w:basedOn w:val="914"/>
    <w:next w:val="914"/>
    <w:link w:val="939"/>
    <w:qFormat/>
    <w:pPr>
      <w:keepNext w:val="true"/>
      <w:pBdr/>
      <w:tabs>
        <w:tab w:val="left" w:leader="none" w:pos="1440"/>
        <w:tab w:val="num" w:leader="none" w:pos="2470"/>
      </w:tabs>
      <w:spacing w:after="240" w:before="240"/>
      <w:ind w:hanging="1008" w:left="1318"/>
      <w:jc w:val="center"/>
      <w:outlineLvl w:val="0"/>
    </w:pPr>
    <w:rPr>
      <w:rFonts w:eastAsia="Calibri"/>
      <w:b/>
      <w:bCs/>
      <w:sz w:val="32"/>
      <w:szCs w:val="32"/>
    </w:rPr>
  </w:style>
  <w:style w:type="paragraph" w:styleId="916">
    <w:name w:val="Heading 2"/>
    <w:basedOn w:val="914"/>
    <w:next w:val="914"/>
    <w:link w:val="940"/>
    <w:qFormat/>
    <w:pPr>
      <w:keepNext w:val="true"/>
      <w:pBdr/>
      <w:tabs>
        <w:tab w:val="num" w:leader="none" w:pos="638"/>
      </w:tabs>
      <w:spacing w:after="60" w:before="240"/>
      <w:ind w:hanging="576" w:left="638"/>
      <w:jc w:val="both"/>
      <w:outlineLvl w:val="1"/>
    </w:pPr>
    <w:rPr>
      <w:rFonts w:eastAsia="Calibri" w:cs="Arial"/>
      <w:b/>
      <w:bCs/>
      <w:iCs/>
      <w:sz w:val="28"/>
      <w:szCs w:val="28"/>
    </w:rPr>
  </w:style>
  <w:style w:type="paragraph" w:styleId="917">
    <w:name w:val="Heading 3"/>
    <w:basedOn w:val="914"/>
    <w:next w:val="914"/>
    <w:link w:val="938"/>
    <w:unhideWhenUsed/>
    <w:qFormat/>
    <w:pPr>
      <w:keepNext w:val="true"/>
      <w:pBdr/>
      <w:spacing w:after="60" w:before="240"/>
      <w:ind/>
      <w:outlineLvl w:val="2"/>
    </w:pPr>
    <w:rPr>
      <w:rFonts w:ascii="Cambria" w:hAnsi="Cambria"/>
      <w:b/>
      <w:bCs/>
      <w:sz w:val="26"/>
      <w:szCs w:val="26"/>
    </w:rPr>
  </w:style>
  <w:style w:type="paragraph" w:styleId="918">
    <w:name w:val="Heading 4"/>
    <w:basedOn w:val="914"/>
    <w:next w:val="914"/>
    <w:link w:val="941"/>
    <w:qFormat/>
    <w:pPr>
      <w:keepNext w:val="true"/>
      <w:pBdr/>
      <w:tabs>
        <w:tab w:val="num" w:leader="none" w:pos="864"/>
      </w:tabs>
      <w:spacing w:after="60" w:before="240"/>
      <w:ind w:hanging="864" w:left="864"/>
      <w:jc w:val="both"/>
      <w:outlineLvl w:val="3"/>
    </w:pPr>
    <w:rPr>
      <w:b/>
      <w:bCs/>
      <w:i/>
      <w:sz w:val="26"/>
      <w:szCs w:val="26"/>
    </w:rPr>
  </w:style>
  <w:style w:type="paragraph" w:styleId="919">
    <w:name w:val="Heading 5"/>
    <w:basedOn w:val="914"/>
    <w:next w:val="914"/>
    <w:link w:val="942"/>
    <w:qFormat/>
    <w:pPr>
      <w:pBdr/>
      <w:tabs>
        <w:tab w:val="num" w:leader="none" w:pos="1008"/>
      </w:tabs>
      <w:spacing w:after="60" w:before="240"/>
      <w:ind w:hanging="1008" w:left="1008"/>
      <w:jc w:val="both"/>
      <w:outlineLvl w:val="4"/>
    </w:pPr>
    <w:rPr>
      <w:b/>
      <w:bCs/>
      <w:i/>
      <w:iCs/>
      <w:sz w:val="26"/>
      <w:szCs w:val="26"/>
    </w:rPr>
  </w:style>
  <w:style w:type="paragraph" w:styleId="920">
    <w:name w:val="Heading 6"/>
    <w:basedOn w:val="914"/>
    <w:next w:val="914"/>
    <w:link w:val="943"/>
    <w:qFormat/>
    <w:pPr>
      <w:pBdr/>
      <w:tabs>
        <w:tab w:val="num" w:leader="none" w:pos="1152"/>
      </w:tabs>
      <w:spacing w:after="60" w:before="240"/>
      <w:ind w:hanging="1152" w:left="1152"/>
      <w:jc w:val="both"/>
      <w:outlineLvl w:val="5"/>
    </w:pPr>
    <w:rPr>
      <w:b/>
      <w:bCs/>
      <w:sz w:val="22"/>
      <w:szCs w:val="22"/>
    </w:rPr>
  </w:style>
  <w:style w:type="paragraph" w:styleId="921">
    <w:name w:val="Heading 7"/>
    <w:basedOn w:val="914"/>
    <w:next w:val="914"/>
    <w:link w:val="944"/>
    <w:qFormat/>
    <w:pPr>
      <w:pBdr/>
      <w:tabs>
        <w:tab w:val="num" w:leader="none" w:pos="1296"/>
      </w:tabs>
      <w:spacing w:after="60" w:before="240"/>
      <w:ind w:hanging="1296" w:left="1296"/>
      <w:jc w:val="both"/>
      <w:outlineLvl w:val="6"/>
    </w:pPr>
  </w:style>
  <w:style w:type="paragraph" w:styleId="922">
    <w:name w:val="Heading 8"/>
    <w:basedOn w:val="914"/>
    <w:next w:val="914"/>
    <w:link w:val="945"/>
    <w:qFormat/>
    <w:pPr>
      <w:pBdr/>
      <w:tabs>
        <w:tab w:val="num" w:leader="none" w:pos="1440"/>
      </w:tabs>
      <w:spacing w:after="60" w:before="240"/>
      <w:ind w:hanging="1440" w:left="1440"/>
      <w:jc w:val="both"/>
      <w:outlineLvl w:val="7"/>
    </w:pPr>
    <w:rPr>
      <w:i/>
      <w:iCs/>
    </w:rPr>
  </w:style>
  <w:style w:type="paragraph" w:styleId="923">
    <w:name w:val="Heading 9"/>
    <w:basedOn w:val="914"/>
    <w:next w:val="914"/>
    <w:link w:val="946"/>
    <w:qFormat/>
    <w:pPr>
      <w:pBdr/>
      <w:tabs>
        <w:tab w:val="num" w:leader="none" w:pos="1584"/>
      </w:tabs>
      <w:spacing w:after="60" w:before="240"/>
      <w:ind w:hanging="1584" w:left="1584"/>
      <w:jc w:val="both"/>
      <w:outlineLvl w:val="8"/>
    </w:pPr>
    <w:rPr>
      <w:rFonts w:ascii="Arial" w:hAnsi="Arial" w:cs="Arial"/>
      <w:sz w:val="22"/>
      <w:szCs w:val="22"/>
    </w:rPr>
  </w:style>
  <w:style w:type="character" w:styleId="924" w:default="1">
    <w:name w:val="Default Paragraph Font"/>
    <w:uiPriority w:val="1"/>
    <w:semiHidden/>
    <w:unhideWhenUsed/>
    <w:pPr>
      <w:pBdr/>
      <w:spacing/>
      <w:ind/>
    </w:pPr>
  </w:style>
  <w:style w:type="table" w:styleId="925"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26" w:default="1">
    <w:name w:val="No List"/>
    <w:uiPriority w:val="99"/>
    <w:semiHidden/>
    <w:unhideWhenUsed/>
    <w:pPr>
      <w:pBdr/>
      <w:spacing/>
      <w:ind/>
    </w:pPr>
  </w:style>
  <w:style w:type="table" w:styleId="927">
    <w:name w:val="Table Grid"/>
    <w:basedOn w:val="92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8">
    <w:name w:val="Normal (Web)"/>
    <w:basedOn w:val="914"/>
    <w:link w:val="1155"/>
    <w:uiPriority w:val="99"/>
    <w:pPr>
      <w:pBdr/>
      <w:spacing w:after="100" w:afterAutospacing="1" w:before="100" w:beforeAutospacing="1"/>
      <w:ind/>
    </w:pPr>
  </w:style>
  <w:style w:type="paragraph" w:styleId="929">
    <w:name w:val="Header"/>
    <w:basedOn w:val="914"/>
    <w:link w:val="930"/>
    <w:uiPriority w:val="99"/>
    <w:pPr>
      <w:pBdr/>
      <w:tabs>
        <w:tab w:val="center" w:leader="none" w:pos="4320"/>
        <w:tab w:val="right" w:leader="none" w:pos="8640"/>
      </w:tabs>
      <w:spacing/>
      <w:ind/>
    </w:pPr>
  </w:style>
  <w:style w:type="character" w:styleId="930" w:customStyle="1">
    <w:name w:val="Header Char"/>
    <w:link w:val="929"/>
    <w:uiPriority w:val="99"/>
    <w:pPr>
      <w:pBdr/>
      <w:spacing/>
      <w:ind/>
    </w:pPr>
    <w:rPr>
      <w:sz w:val="24"/>
      <w:szCs w:val="24"/>
      <w:lang w:val="en-US" w:eastAsia="en-US" w:bidi="ar-SA"/>
    </w:rPr>
  </w:style>
  <w:style w:type="paragraph" w:styleId="931">
    <w:name w:val="Body Text"/>
    <w:basedOn w:val="914"/>
    <w:link w:val="1001"/>
    <w:pPr>
      <w:pBdr/>
      <w:spacing/>
      <w:ind/>
      <w:jc w:val="both"/>
    </w:pPr>
    <w:rPr>
      <w:rFonts w:ascii="VNI-Times" w:hAnsi="VNI-Times"/>
      <w:sz w:val="26"/>
      <w:szCs w:val="20"/>
    </w:rPr>
  </w:style>
  <w:style w:type="paragraph" w:styleId="932">
    <w:name w:val="Body Text 2"/>
    <w:basedOn w:val="914"/>
    <w:link w:val="1150"/>
    <w:pPr>
      <w:pBdr/>
      <w:spacing/>
      <w:ind/>
      <w:jc w:val="both"/>
    </w:pPr>
    <w:rPr>
      <w:rFonts w:ascii="VNI-Times" w:hAnsi="VNI-Times"/>
      <w:sz w:val="26"/>
      <w:szCs w:val="20"/>
    </w:rPr>
  </w:style>
  <w:style w:type="paragraph" w:styleId="933" w:customStyle="1">
    <w:name w:val="Char Char Char Char Char Char Char Char Char Char Char Char Char Char Char"/>
    <w:basedOn w:val="914"/>
    <w:pPr>
      <w:pBdr/>
      <w:spacing w:after="160" w:line="240" w:lineRule="exact"/>
      <w:ind/>
    </w:pPr>
    <w:rPr>
      <w:rFonts w:ascii="Verdana" w:hAnsi="Verdana"/>
      <w:sz w:val="20"/>
      <w:szCs w:val="20"/>
    </w:rPr>
  </w:style>
  <w:style w:type="character" w:styleId="934">
    <w:name w:val="Emphasis"/>
    <w:uiPriority w:val="20"/>
    <w:qFormat/>
    <w:pPr>
      <w:pBdr/>
      <w:spacing/>
      <w:ind/>
    </w:pPr>
    <w:rPr>
      <w:i/>
      <w:iCs/>
    </w:rPr>
  </w:style>
  <w:style w:type="paragraph" w:styleId="935" w:customStyle="1">
    <w:name w:val="Char"/>
    <w:basedOn w:val="914"/>
    <w:semiHidden/>
    <w:pPr>
      <w:pBdr/>
      <w:spacing w:after="160" w:line="240" w:lineRule="exact"/>
      <w:ind/>
    </w:pPr>
    <w:rPr>
      <w:rFonts w:ascii="Arial" w:hAnsi="Arial"/>
      <w:sz w:val="22"/>
      <w:szCs w:val="22"/>
    </w:rPr>
  </w:style>
  <w:style w:type="paragraph" w:styleId="936" w:customStyle="1">
    <w:name w:val="base"/>
    <w:basedOn w:val="914"/>
    <w:link w:val="937"/>
    <w:qFormat/>
    <w:pPr>
      <w:pBdr/>
      <w:spacing w:after="60" w:before="60"/>
      <w:ind w:firstLine="720"/>
      <w:jc w:val="both"/>
    </w:pPr>
    <w:rPr>
      <w:sz w:val="26"/>
      <w:szCs w:val="26"/>
      <w:lang w:val="vi-VN"/>
    </w:rPr>
  </w:style>
  <w:style w:type="character" w:styleId="937" w:customStyle="1">
    <w:name w:val="base Char"/>
    <w:link w:val="936"/>
    <w:pPr>
      <w:pBdr/>
      <w:spacing/>
      <w:ind/>
    </w:pPr>
    <w:rPr>
      <w:sz w:val="26"/>
      <w:szCs w:val="26"/>
      <w:lang w:val="vi-VN" w:bidi="ar-SA"/>
    </w:rPr>
  </w:style>
  <w:style w:type="character" w:styleId="938" w:customStyle="1">
    <w:name w:val="Heading 3 Char"/>
    <w:link w:val="917"/>
    <w:pPr>
      <w:pBdr/>
      <w:spacing/>
      <w:ind/>
    </w:pPr>
    <w:rPr>
      <w:rFonts w:ascii="Cambria" w:hAnsi="Cambria"/>
      <w:b/>
      <w:bCs/>
      <w:sz w:val="26"/>
      <w:szCs w:val="26"/>
    </w:rPr>
  </w:style>
  <w:style w:type="character" w:styleId="939" w:customStyle="1">
    <w:name w:val="Heading 1 Char"/>
    <w:link w:val="915"/>
    <w:pPr>
      <w:pBdr/>
      <w:spacing/>
      <w:ind/>
    </w:pPr>
    <w:rPr>
      <w:rFonts w:eastAsia="Calibri"/>
      <w:b/>
      <w:bCs/>
      <w:sz w:val="32"/>
      <w:szCs w:val="32"/>
    </w:rPr>
  </w:style>
  <w:style w:type="character" w:styleId="940" w:customStyle="1">
    <w:name w:val="Heading 2 Char"/>
    <w:link w:val="916"/>
    <w:pPr>
      <w:pBdr/>
      <w:spacing/>
      <w:ind/>
    </w:pPr>
    <w:rPr>
      <w:rFonts w:eastAsia="Calibri" w:cs="Arial"/>
      <w:b/>
      <w:bCs/>
      <w:iCs/>
      <w:sz w:val="28"/>
      <w:szCs w:val="28"/>
    </w:rPr>
  </w:style>
  <w:style w:type="character" w:styleId="941" w:customStyle="1">
    <w:name w:val="Heading 4 Char"/>
    <w:link w:val="918"/>
    <w:pPr>
      <w:pBdr/>
      <w:spacing/>
      <w:ind/>
    </w:pPr>
    <w:rPr>
      <w:b/>
      <w:bCs/>
      <w:i/>
      <w:sz w:val="26"/>
      <w:szCs w:val="26"/>
    </w:rPr>
  </w:style>
  <w:style w:type="character" w:styleId="942" w:customStyle="1">
    <w:name w:val="Heading 5 Char"/>
    <w:link w:val="919"/>
    <w:pPr>
      <w:pBdr/>
      <w:spacing/>
      <w:ind/>
    </w:pPr>
    <w:rPr>
      <w:b/>
      <w:bCs/>
      <w:i/>
      <w:iCs/>
      <w:sz w:val="26"/>
      <w:szCs w:val="26"/>
    </w:rPr>
  </w:style>
  <w:style w:type="character" w:styleId="943" w:customStyle="1">
    <w:name w:val="Heading 6 Char"/>
    <w:link w:val="920"/>
    <w:pPr>
      <w:pBdr/>
      <w:spacing/>
      <w:ind/>
    </w:pPr>
    <w:rPr>
      <w:b/>
      <w:bCs/>
      <w:sz w:val="22"/>
      <w:szCs w:val="22"/>
    </w:rPr>
  </w:style>
  <w:style w:type="character" w:styleId="944" w:customStyle="1">
    <w:name w:val="Heading 7 Char"/>
    <w:link w:val="921"/>
    <w:pPr>
      <w:pBdr/>
      <w:spacing/>
      <w:ind/>
    </w:pPr>
    <w:rPr>
      <w:sz w:val="24"/>
      <w:szCs w:val="24"/>
    </w:rPr>
  </w:style>
  <w:style w:type="character" w:styleId="945" w:customStyle="1">
    <w:name w:val="Heading 8 Char"/>
    <w:link w:val="922"/>
    <w:pPr>
      <w:pBdr/>
      <w:spacing/>
      <w:ind/>
    </w:pPr>
    <w:rPr>
      <w:i/>
      <w:iCs/>
      <w:sz w:val="24"/>
      <w:szCs w:val="24"/>
    </w:rPr>
  </w:style>
  <w:style w:type="character" w:styleId="946" w:customStyle="1">
    <w:name w:val="Heading 9 Char"/>
    <w:link w:val="923"/>
    <w:pPr>
      <w:pBdr/>
      <w:spacing/>
      <w:ind/>
    </w:pPr>
    <w:rPr>
      <w:rFonts w:ascii="Arial" w:hAnsi="Arial" w:cs="Arial"/>
      <w:sz w:val="22"/>
      <w:szCs w:val="22"/>
    </w:rPr>
  </w:style>
  <w:style w:type="paragraph" w:styleId="947" w:customStyle="1">
    <w:name w:val="Char Char2 Char Char"/>
    <w:basedOn w:val="914"/>
    <w:semiHidden/>
    <w:pPr>
      <w:pBdr/>
      <w:spacing w:after="160" w:line="240" w:lineRule="exact"/>
      <w:ind/>
    </w:pPr>
    <w:rPr>
      <w:rFonts w:ascii="Verdana" w:hAnsi="Verdana" w:cs="Verdana"/>
      <w:sz w:val="20"/>
      <w:szCs w:val="20"/>
    </w:rPr>
  </w:style>
  <w:style w:type="paragraph" w:styleId="948">
    <w:name w:val="toc 1"/>
    <w:basedOn w:val="914"/>
    <w:next w:val="914"/>
    <w:uiPriority w:val="39"/>
    <w:pPr>
      <w:pBdr/>
      <w:tabs>
        <w:tab w:val="right" w:leader="dot" w:pos="9345"/>
      </w:tabs>
      <w:spacing/>
      <w:ind/>
    </w:pPr>
  </w:style>
  <w:style w:type="paragraph" w:styleId="949">
    <w:name w:val="toc 2"/>
    <w:basedOn w:val="914"/>
    <w:next w:val="914"/>
    <w:uiPriority w:val="39"/>
    <w:pPr>
      <w:pBdr/>
      <w:tabs>
        <w:tab w:val="right" w:leader="dot" w:pos="9345"/>
      </w:tabs>
      <w:spacing w:before="120" w:line="288" w:lineRule="auto"/>
      <w:ind/>
    </w:pPr>
  </w:style>
  <w:style w:type="paragraph" w:styleId="950">
    <w:name w:val="toc 3"/>
    <w:basedOn w:val="914"/>
    <w:next w:val="914"/>
    <w:uiPriority w:val="39"/>
    <w:pPr>
      <w:pBdr/>
      <w:tabs>
        <w:tab w:val="right" w:leader="dot" w:pos="9345"/>
      </w:tabs>
      <w:spacing w:line="288" w:lineRule="auto"/>
      <w:ind/>
      <w:jc w:val="both"/>
    </w:pPr>
  </w:style>
  <w:style w:type="paragraph" w:styleId="951">
    <w:name w:val="toc 4"/>
    <w:basedOn w:val="914"/>
    <w:next w:val="914"/>
    <w:uiPriority w:val="39"/>
    <w:pPr>
      <w:pBdr/>
      <w:tabs>
        <w:tab w:val="right" w:leader="dot" w:pos="9345"/>
      </w:tabs>
      <w:spacing w:before="120"/>
      <w:ind/>
    </w:pPr>
  </w:style>
  <w:style w:type="character" w:styleId="952">
    <w:name w:val="Hyperlink"/>
    <w:uiPriority w:val="99"/>
    <w:pPr>
      <w:pBdr/>
      <w:spacing/>
      <w:ind/>
    </w:pPr>
    <w:rPr>
      <w:color w:val="0000ff"/>
      <w:u w:val="single"/>
    </w:rPr>
  </w:style>
  <w:style w:type="character" w:styleId="953" w:customStyle="1">
    <w:name w:val="Body Text Char"/>
    <w:pPr>
      <w:pBdr/>
      <w:spacing/>
      <w:ind/>
    </w:pPr>
    <w:rPr>
      <w:sz w:val="26"/>
      <w:szCs w:val="24"/>
      <w:lang w:val="en-US" w:eastAsia="zh-CN" w:bidi="ar-SA"/>
    </w:rPr>
  </w:style>
  <w:style w:type="paragraph" w:styleId="954">
    <w:name w:val="Caption"/>
    <w:basedOn w:val="914"/>
    <w:next w:val="914"/>
    <w:link w:val="955"/>
    <w:qFormat/>
    <w:pPr>
      <w:pBdr/>
      <w:tabs>
        <w:tab w:val="left" w:leader="none" w:pos="1134"/>
      </w:tabs>
      <w:spacing w:after="120" w:before="120" w:line="240" w:lineRule="atLeast"/>
      <w:ind w:hanging="1134" w:left="1134"/>
      <w:jc w:val="both"/>
    </w:pPr>
    <w:rPr>
      <w:rFonts w:eastAsia="Calibri"/>
      <w:b/>
      <w:sz w:val="26"/>
      <w:szCs w:val="20"/>
      <w:lang w:val="en-GB"/>
    </w:rPr>
  </w:style>
  <w:style w:type="character" w:styleId="955" w:customStyle="1">
    <w:name w:val="Caption Char"/>
    <w:link w:val="954"/>
    <w:pPr>
      <w:pBdr/>
      <w:spacing/>
      <w:ind/>
    </w:pPr>
    <w:rPr>
      <w:rFonts w:eastAsia="Calibri"/>
      <w:b/>
      <w:sz w:val="26"/>
      <w:lang w:val="en-GB"/>
    </w:rPr>
  </w:style>
  <w:style w:type="paragraph" w:styleId="956" w:customStyle="1">
    <w:name w:val="muc chi noi dung 1"/>
    <w:basedOn w:val="914"/>
    <w:semiHidden/>
    <w:qFormat/>
    <w:pPr>
      <w:pBdr/>
      <w:tabs>
        <w:tab w:val="left" w:leader="none" w:pos="3366"/>
      </w:tabs>
      <w:spacing w:after="120" w:before="120" w:line="276" w:lineRule="auto"/>
      <w:ind/>
      <w:jc w:val="center"/>
    </w:pPr>
    <w:rPr>
      <w:color w:val="000000"/>
      <w:sz w:val="26"/>
      <w:szCs w:val="28"/>
      <w:lang w:val="pt-BR"/>
    </w:rPr>
  </w:style>
  <w:style w:type="character" w:styleId="957">
    <w:name w:val="Strong"/>
    <w:uiPriority w:val="22"/>
    <w:qFormat/>
    <w:pPr>
      <w:pBdr/>
      <w:spacing/>
      <w:ind/>
    </w:pPr>
    <w:rPr>
      <w:b/>
      <w:bCs/>
    </w:rPr>
  </w:style>
  <w:style w:type="paragraph" w:styleId="958">
    <w:name w:val="Footer"/>
    <w:basedOn w:val="914"/>
    <w:link w:val="959"/>
    <w:uiPriority w:val="99"/>
    <w:pPr>
      <w:pBdr/>
      <w:tabs>
        <w:tab w:val="center" w:leader="none" w:pos="4320"/>
        <w:tab w:val="right" w:leader="none" w:pos="8640"/>
      </w:tabs>
      <w:spacing/>
      <w:ind/>
      <w:jc w:val="both"/>
    </w:pPr>
    <w:rPr>
      <w:sz w:val="26"/>
      <w:szCs w:val="26"/>
    </w:rPr>
  </w:style>
  <w:style w:type="character" w:styleId="959" w:customStyle="1">
    <w:name w:val="Footer Char"/>
    <w:link w:val="958"/>
    <w:uiPriority w:val="99"/>
    <w:pPr>
      <w:pBdr/>
      <w:spacing/>
      <w:ind/>
    </w:pPr>
    <w:rPr>
      <w:sz w:val="26"/>
      <w:szCs w:val="26"/>
    </w:rPr>
  </w:style>
  <w:style w:type="character" w:styleId="960">
    <w:name w:val="page number"/>
    <w:pPr>
      <w:pBdr/>
      <w:spacing/>
      <w:ind/>
    </w:pPr>
  </w:style>
  <w:style w:type="character" w:styleId="961" w:customStyle="1">
    <w:name w:val="Caption (table) Char"/>
    <w:semiHidden/>
    <w:pPr>
      <w:pBdr/>
      <w:spacing/>
      <w:ind/>
    </w:pPr>
    <w:rPr>
      <w:b/>
      <w:bCs/>
      <w:lang w:val="en-US" w:eastAsia="en-US"/>
    </w:rPr>
  </w:style>
  <w:style w:type="paragraph" w:styleId="962" w:customStyle="1">
    <w:name w:val="1.0"/>
    <w:basedOn w:val="914"/>
    <w:semiHidden/>
    <w:pPr>
      <w:numPr>
        <w:ilvl w:val="3"/>
        <w:numId w:val="2"/>
      </w:numPr>
      <w:pBdr/>
      <w:tabs>
        <w:tab w:val="num" w:leader="none" w:pos="567"/>
        <w:tab w:val="clear" w:leader="none" w:pos="2126"/>
      </w:tabs>
      <w:spacing w:line="360" w:lineRule="auto"/>
      <w:ind w:hanging="567" w:left="567"/>
    </w:pPr>
    <w:rPr>
      <w:rFonts w:ascii="Arial" w:hAnsi="Arial" w:eastAsia="Calibri"/>
      <w:b/>
      <w:lang w:val="en-GB" w:eastAsia="en-GB"/>
    </w:rPr>
  </w:style>
  <w:style w:type="paragraph" w:styleId="963" w:customStyle="1">
    <w:name w:val="level 3"/>
    <w:basedOn w:val="962"/>
    <w:semiHidden/>
    <w:pPr>
      <w:numPr>
        <w:ilvl w:val="1"/>
      </w:numPr>
      <w:pBdr/>
      <w:tabs>
        <w:tab w:val="clear" w:leader="none" w:pos="567"/>
        <w:tab w:val="num" w:leader="none" w:pos="2126"/>
      </w:tabs>
      <w:spacing/>
      <w:ind w:hanging="850" w:left="2126"/>
    </w:pPr>
    <w:rPr>
      <w:sz w:val="22"/>
    </w:rPr>
  </w:style>
  <w:style w:type="paragraph" w:styleId="964" w:customStyle="1">
    <w:name w:val="level1"/>
    <w:basedOn w:val="962"/>
    <w:semiHidden/>
    <w:pPr>
      <w:numPr>
        <w:ilvl w:val="2"/>
      </w:numPr>
      <w:pBdr/>
      <w:tabs>
        <w:tab w:val="num" w:leader="none" w:pos="567"/>
        <w:tab w:val="clear" w:leader="none" w:pos="1304"/>
      </w:tabs>
      <w:spacing/>
      <w:ind w:hanging="567" w:left="567"/>
    </w:pPr>
    <w:rPr>
      <w:sz w:val="22"/>
    </w:rPr>
  </w:style>
  <w:style w:type="paragraph" w:styleId="965" w:customStyle="1">
    <w:name w:val="level2"/>
    <w:basedOn w:val="962"/>
    <w:semiHidden/>
    <w:pPr>
      <w:numPr>
        <w:ilvl w:val="4"/>
      </w:numPr>
      <w:pBdr/>
      <w:tabs>
        <w:tab w:val="num" w:leader="none" w:pos="1304"/>
        <w:tab w:val="clear" w:leader="none" w:pos="1843"/>
      </w:tabs>
      <w:spacing/>
      <w:ind w:hanging="737" w:left="1304"/>
    </w:pPr>
    <w:rPr>
      <w:sz w:val="22"/>
    </w:rPr>
  </w:style>
  <w:style w:type="paragraph" w:styleId="966" w:customStyle="1">
    <w:name w:val="level4"/>
    <w:basedOn w:val="962"/>
    <w:semiHidden/>
    <w:pPr>
      <w:numPr>
        <w:ilvl w:val="0"/>
        <w:numId w:val="0"/>
      </w:numPr>
      <w:pBdr/>
      <w:tabs>
        <w:tab w:val="num" w:leader="none" w:pos="1843"/>
      </w:tabs>
      <w:spacing/>
      <w:ind w:hanging="992" w:left="2835"/>
    </w:pPr>
    <w:rPr>
      <w:sz w:val="22"/>
    </w:rPr>
  </w:style>
  <w:style w:type="character" w:styleId="967" w:customStyle="1">
    <w:name w:val="A_Tua1 Char Char"/>
    <w:semiHidden/>
    <w:pPr>
      <w:pBdr/>
      <w:spacing/>
      <w:ind/>
    </w:pPr>
    <w:rPr>
      <w:rFonts w:cs="Arial"/>
      <w:b/>
      <w:bCs/>
      <w:iCs/>
      <w:sz w:val="28"/>
      <w:szCs w:val="28"/>
      <w:lang w:val="en-US" w:eastAsia="en-US" w:bidi="ar-SA"/>
    </w:rPr>
  </w:style>
  <w:style w:type="paragraph" w:styleId="968" w:customStyle="1">
    <w:name w:val="Gach dau dong"/>
    <w:basedOn w:val="914"/>
    <w:semiHidden/>
    <w:pPr>
      <w:numPr>
        <w:numId w:val="3"/>
      </w:numPr>
      <w:pBdr/>
      <w:spacing w:after="120" w:before="120"/>
      <w:ind/>
      <w:jc w:val="both"/>
    </w:pPr>
    <w:rPr>
      <w:szCs w:val="26"/>
    </w:rPr>
  </w:style>
  <w:style w:type="table" w:styleId="969" w:customStyle="1">
    <w:name w:val="Table Grid1"/>
    <w:basedOn w:val="925"/>
    <w:next w:val="927"/>
    <w:semiHidden/>
    <w:pPr>
      <w:pBdr/>
      <w:spacing/>
      <w:ind/>
    </w:pPr>
    <w:rPr>
      <w:rFonts w:eastAsia="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customStyle="1">
    <w:name w:val="gach"/>
    <w:basedOn w:val="914"/>
    <w:link w:val="971"/>
    <w:semiHidden/>
    <w:qFormat/>
    <w:pPr>
      <w:numPr>
        <w:numId w:val="5"/>
      </w:numPr>
      <w:pBdr/>
      <w:tabs>
        <w:tab w:val="left" w:leader="none" w:pos="851"/>
      </w:tabs>
      <w:spacing w:after="40" w:before="40"/>
      <w:ind/>
      <w:jc w:val="both"/>
    </w:pPr>
    <w:rPr>
      <w:rFonts w:eastAsia="Calibri"/>
      <w:sz w:val="26"/>
      <w:szCs w:val="20"/>
    </w:rPr>
  </w:style>
  <w:style w:type="character" w:styleId="971" w:customStyle="1">
    <w:name w:val="gach Char"/>
    <w:link w:val="970"/>
    <w:semiHidden/>
    <w:pPr>
      <w:pBdr/>
      <w:spacing/>
      <w:ind/>
    </w:pPr>
    <w:rPr>
      <w:rFonts w:eastAsia="Calibri"/>
      <w:sz w:val="26"/>
    </w:rPr>
  </w:style>
  <w:style w:type="paragraph" w:styleId="972">
    <w:name w:val="List Paragraph"/>
    <w:basedOn w:val="914"/>
    <w:uiPriority w:val="34"/>
    <w:qFormat/>
    <w:pPr>
      <w:pBdr/>
      <w:spacing w:after="200" w:line="276" w:lineRule="auto"/>
      <w:ind w:left="720"/>
      <w:contextualSpacing w:val="true"/>
    </w:pPr>
    <w:rPr>
      <w:rFonts w:eastAsia="Calibri"/>
      <w:sz w:val="22"/>
      <w:szCs w:val="22"/>
    </w:rPr>
  </w:style>
  <w:style w:type="paragraph" w:styleId="973">
    <w:name w:val="Body Text Indent 2"/>
    <w:basedOn w:val="914"/>
    <w:link w:val="974"/>
    <w:pPr>
      <w:pBdr/>
      <w:spacing w:after="120" w:line="480" w:lineRule="auto"/>
      <w:ind w:left="360"/>
    </w:pPr>
  </w:style>
  <w:style w:type="character" w:styleId="974" w:customStyle="1">
    <w:name w:val="Body Text Indent 2 Char"/>
    <w:link w:val="973"/>
    <w:pPr>
      <w:pBdr/>
      <w:spacing/>
      <w:ind/>
    </w:pPr>
    <w:rPr>
      <w:sz w:val="24"/>
      <w:szCs w:val="24"/>
    </w:rPr>
  </w:style>
  <w:style w:type="character" w:styleId="975" w:customStyle="1">
    <w:name w:val="apple-converted-space"/>
    <w:pPr>
      <w:pBdr/>
      <w:spacing/>
      <w:ind/>
    </w:pPr>
  </w:style>
  <w:style w:type="paragraph" w:styleId="976">
    <w:name w:val="toc 5"/>
    <w:basedOn w:val="914"/>
    <w:next w:val="914"/>
    <w:uiPriority w:val="39"/>
    <w:unhideWhenUsed/>
    <w:pPr>
      <w:pBdr/>
      <w:spacing w:after="100" w:line="259" w:lineRule="auto"/>
      <w:ind w:left="880"/>
    </w:pPr>
    <w:rPr>
      <w:rFonts w:ascii="Calibri" w:hAnsi="Calibri"/>
      <w:sz w:val="22"/>
      <w:szCs w:val="22"/>
    </w:rPr>
  </w:style>
  <w:style w:type="paragraph" w:styleId="977">
    <w:name w:val="toc 6"/>
    <w:basedOn w:val="914"/>
    <w:next w:val="914"/>
    <w:uiPriority w:val="39"/>
    <w:unhideWhenUsed/>
    <w:pPr>
      <w:pBdr/>
      <w:spacing w:after="100" w:line="259" w:lineRule="auto"/>
      <w:ind w:left="1100"/>
    </w:pPr>
    <w:rPr>
      <w:rFonts w:ascii="Calibri" w:hAnsi="Calibri"/>
      <w:sz w:val="22"/>
      <w:szCs w:val="22"/>
    </w:rPr>
  </w:style>
  <w:style w:type="paragraph" w:styleId="978">
    <w:name w:val="toc 7"/>
    <w:basedOn w:val="914"/>
    <w:next w:val="914"/>
    <w:uiPriority w:val="39"/>
    <w:unhideWhenUsed/>
    <w:pPr>
      <w:pBdr/>
      <w:spacing w:after="100" w:line="259" w:lineRule="auto"/>
      <w:ind w:left="1320"/>
    </w:pPr>
    <w:rPr>
      <w:rFonts w:ascii="Calibri" w:hAnsi="Calibri"/>
      <w:sz w:val="22"/>
      <w:szCs w:val="22"/>
    </w:rPr>
  </w:style>
  <w:style w:type="paragraph" w:styleId="979">
    <w:name w:val="toc 8"/>
    <w:basedOn w:val="914"/>
    <w:next w:val="914"/>
    <w:uiPriority w:val="39"/>
    <w:unhideWhenUsed/>
    <w:pPr>
      <w:pBdr/>
      <w:spacing w:after="100" w:line="259" w:lineRule="auto"/>
      <w:ind w:left="1540"/>
    </w:pPr>
    <w:rPr>
      <w:rFonts w:ascii="Calibri" w:hAnsi="Calibri"/>
      <w:sz w:val="22"/>
      <w:szCs w:val="22"/>
    </w:rPr>
  </w:style>
  <w:style w:type="paragraph" w:styleId="980">
    <w:name w:val="toc 9"/>
    <w:basedOn w:val="914"/>
    <w:next w:val="914"/>
    <w:uiPriority w:val="39"/>
    <w:unhideWhenUsed/>
    <w:pPr>
      <w:pBdr/>
      <w:spacing w:after="100" w:line="259" w:lineRule="auto"/>
      <w:ind w:left="1760"/>
    </w:pPr>
    <w:rPr>
      <w:rFonts w:ascii="Calibri" w:hAnsi="Calibri"/>
      <w:sz w:val="22"/>
      <w:szCs w:val="22"/>
    </w:rPr>
  </w:style>
  <w:style w:type="paragraph" w:styleId="981" w:customStyle="1">
    <w:name w:val="Char Char5"/>
    <w:basedOn w:val="914"/>
    <w:semiHidden/>
    <w:pPr>
      <w:pBdr/>
      <w:spacing w:after="160" w:line="240" w:lineRule="exact"/>
      <w:ind/>
    </w:pPr>
    <w:rPr>
      <w:rFonts w:ascii="Verdana" w:hAnsi="Verdana" w:cs="Verdana"/>
      <w:sz w:val="20"/>
      <w:szCs w:val="20"/>
    </w:rPr>
  </w:style>
  <w:style w:type="paragraph" w:styleId="982">
    <w:name w:val="footnote text"/>
    <w:basedOn w:val="914"/>
    <w:link w:val="983"/>
    <w:pPr>
      <w:pBdr/>
      <w:spacing/>
      <w:ind/>
    </w:pPr>
    <w:rPr>
      <w:sz w:val="20"/>
      <w:szCs w:val="20"/>
    </w:rPr>
  </w:style>
  <w:style w:type="character" w:styleId="983" w:customStyle="1">
    <w:name w:val="Footnote Text Char"/>
    <w:basedOn w:val="924"/>
    <w:link w:val="982"/>
    <w:pPr>
      <w:pBdr/>
      <w:spacing/>
      <w:ind/>
    </w:pPr>
  </w:style>
  <w:style w:type="character" w:styleId="984">
    <w:name w:val="footnote reference"/>
    <w:pPr>
      <w:pBdr/>
      <w:spacing/>
      <w:ind/>
    </w:pPr>
    <w:rPr>
      <w:vertAlign w:val="superscript"/>
    </w:rPr>
  </w:style>
  <w:style w:type="paragraph" w:styleId="985" w:customStyle="1">
    <w:name w:val="Char Char5"/>
    <w:basedOn w:val="914"/>
    <w:semiHidden/>
    <w:pPr>
      <w:pBdr/>
      <w:spacing w:after="160" w:line="240" w:lineRule="exact"/>
      <w:ind/>
    </w:pPr>
    <w:rPr>
      <w:rFonts w:ascii="Verdana" w:hAnsi="Verdana" w:cs="Verdana"/>
      <w:sz w:val="20"/>
      <w:szCs w:val="20"/>
    </w:rPr>
  </w:style>
  <w:style w:type="paragraph" w:styleId="986" w:customStyle="1">
    <w:name w:val="hinh"/>
    <w:basedOn w:val="914"/>
    <w:semiHidden/>
    <w:pPr>
      <w:pBdr/>
      <w:spacing w:after="60" w:before="60"/>
      <w:ind w:firstLine="567"/>
      <w:jc w:val="both"/>
    </w:pPr>
    <w:rPr>
      <w:i/>
      <w:sz w:val="28"/>
      <w:szCs w:val="28"/>
    </w:rPr>
  </w:style>
  <w:style w:type="paragraph" w:styleId="987">
    <w:name w:val="table of figures"/>
    <w:basedOn w:val="914"/>
    <w:next w:val="914"/>
    <w:uiPriority w:val="99"/>
    <w:pPr>
      <w:pBdr/>
      <w:spacing/>
      <w:ind/>
    </w:pPr>
  </w:style>
  <w:style w:type="paragraph" w:styleId="988" w:customStyle="1">
    <w:name w:val="bang"/>
    <w:basedOn w:val="914"/>
    <w:semiHidden/>
    <w:pPr>
      <w:pBdr/>
      <w:spacing w:before="60"/>
      <w:ind w:firstLine="567"/>
      <w:jc w:val="center"/>
    </w:pPr>
    <w:rPr>
      <w:i/>
      <w:sz w:val="26"/>
      <w:szCs w:val="28"/>
    </w:rPr>
  </w:style>
  <w:style w:type="paragraph" w:styleId="989" w:customStyle="1">
    <w:name w:val="PHULUC1-BANG"/>
    <w:basedOn w:val="987"/>
    <w:semiHidden/>
    <w:pPr>
      <w:pBdr/>
      <w:tabs>
        <w:tab w:val="right" w:leader="dot" w:pos="9019"/>
      </w:tabs>
      <w:spacing/>
      <w:ind/>
      <w:jc w:val="center"/>
    </w:pPr>
    <w:rPr>
      <w:i/>
      <w:sz w:val="26"/>
      <w:lang w:eastAsia="zh-CN"/>
    </w:rPr>
  </w:style>
  <w:style w:type="paragraph" w:styleId="990">
    <w:name w:val="Balloon Text"/>
    <w:basedOn w:val="914"/>
    <w:link w:val="991"/>
    <w:pPr>
      <w:pBdr/>
      <w:spacing/>
      <w:ind/>
    </w:pPr>
    <w:rPr>
      <w:rFonts w:ascii="Tahoma" w:hAnsi="Tahoma" w:cs="Tahoma"/>
      <w:sz w:val="16"/>
      <w:szCs w:val="16"/>
    </w:rPr>
  </w:style>
  <w:style w:type="character" w:styleId="991" w:customStyle="1">
    <w:name w:val="Balloon Text Char"/>
    <w:link w:val="990"/>
    <w:pPr>
      <w:pBdr/>
      <w:spacing/>
      <w:ind/>
    </w:pPr>
    <w:rPr>
      <w:rFonts w:ascii="Tahoma" w:hAnsi="Tahoma" w:cs="Tahoma"/>
      <w:sz w:val="16"/>
      <w:szCs w:val="16"/>
    </w:rPr>
  </w:style>
  <w:style w:type="paragraph" w:styleId="992" w:customStyle="1">
    <w:name w:val="PHU LUC 2"/>
    <w:basedOn w:val="914"/>
    <w:semiHidden/>
    <w:pPr>
      <w:pBdr/>
      <w:spacing/>
      <w:ind/>
      <w:jc w:val="center"/>
    </w:pPr>
    <w:rPr>
      <w:i/>
      <w:sz w:val="26"/>
      <w:lang w:eastAsia="zh-CN"/>
    </w:rPr>
  </w:style>
  <w:style w:type="paragraph" w:styleId="993" w:customStyle="1">
    <w:name w:val="hinh-noidung"/>
    <w:basedOn w:val="914"/>
    <w:link w:val="1125"/>
    <w:pPr>
      <w:pBdr/>
      <w:spacing w:before="60"/>
      <w:ind w:firstLine="567"/>
      <w:jc w:val="center"/>
    </w:pPr>
    <w:rPr>
      <w:rFonts w:eastAsia="Calibri"/>
      <w:sz w:val="26"/>
      <w:szCs w:val="28"/>
    </w:rPr>
  </w:style>
  <w:style w:type="numbering" w:styleId="994">
    <w:name w:val="Outline List 2"/>
    <w:basedOn w:val="926"/>
    <w:pPr>
      <w:numPr>
        <w:numId w:val="6"/>
      </w:numPr>
      <w:pBdr/>
      <w:spacing/>
      <w:ind/>
    </w:pPr>
  </w:style>
  <w:style w:type="numbering" w:styleId="995">
    <w:name w:val="Outline List 1"/>
    <w:basedOn w:val="926"/>
    <w:pPr>
      <w:numPr>
        <w:numId w:val="7"/>
      </w:numPr>
      <w:pBdr/>
      <w:spacing/>
      <w:ind/>
    </w:pPr>
  </w:style>
  <w:style w:type="numbering" w:styleId="996">
    <w:name w:val="Outline List 3"/>
    <w:basedOn w:val="926"/>
    <w:pPr>
      <w:numPr>
        <w:numId w:val="8"/>
      </w:numPr>
      <w:pBdr/>
      <w:spacing/>
      <w:ind/>
    </w:pPr>
  </w:style>
  <w:style w:type="paragraph" w:styleId="997">
    <w:name w:val="Block Text"/>
    <w:basedOn w:val="914"/>
    <w:pPr>
      <w:pBdr/>
      <w:spacing w:after="120"/>
      <w:ind w:right="1440" w:left="1440"/>
    </w:pPr>
  </w:style>
  <w:style w:type="paragraph" w:styleId="998">
    <w:name w:val="Body Text 3"/>
    <w:basedOn w:val="914"/>
    <w:link w:val="999"/>
    <w:pPr>
      <w:pBdr/>
      <w:spacing w:after="120"/>
      <w:ind/>
    </w:pPr>
    <w:rPr>
      <w:sz w:val="16"/>
      <w:szCs w:val="16"/>
    </w:rPr>
  </w:style>
  <w:style w:type="character" w:styleId="999" w:customStyle="1">
    <w:name w:val="Body Text 3 Char"/>
    <w:link w:val="998"/>
    <w:pPr>
      <w:pBdr/>
      <w:spacing/>
      <w:ind/>
    </w:pPr>
    <w:rPr>
      <w:sz w:val="16"/>
      <w:szCs w:val="16"/>
    </w:rPr>
  </w:style>
  <w:style w:type="paragraph" w:styleId="1000">
    <w:name w:val="Body Text First Indent"/>
    <w:basedOn w:val="931"/>
    <w:link w:val="1002"/>
    <w:pPr>
      <w:pBdr/>
      <w:spacing w:after="120"/>
      <w:ind w:firstLine="210"/>
      <w:jc w:val="left"/>
    </w:pPr>
    <w:rPr>
      <w:rFonts w:ascii="Times New Roman" w:hAnsi="Times New Roman" w:eastAsia="Calibri"/>
      <w:sz w:val="24"/>
      <w:szCs w:val="24"/>
    </w:rPr>
  </w:style>
  <w:style w:type="character" w:styleId="1001" w:customStyle="1">
    <w:name w:val="Body Text Char1"/>
    <w:link w:val="931"/>
    <w:pPr>
      <w:pBdr/>
      <w:spacing/>
      <w:ind/>
    </w:pPr>
    <w:rPr>
      <w:rFonts w:ascii="VNI-Times" w:hAnsi="VNI-Times"/>
      <w:sz w:val="26"/>
    </w:rPr>
  </w:style>
  <w:style w:type="character" w:styleId="1002" w:customStyle="1">
    <w:name w:val="Body Text First Indent Char"/>
    <w:link w:val="1000"/>
    <w:pPr>
      <w:pBdr/>
      <w:spacing/>
      <w:ind/>
    </w:pPr>
    <w:rPr>
      <w:rFonts w:ascii="VNI-Times" w:hAnsi="VNI-Times" w:eastAsia="Calibri"/>
      <w:sz w:val="24"/>
      <w:szCs w:val="24"/>
    </w:rPr>
  </w:style>
  <w:style w:type="paragraph" w:styleId="1003">
    <w:name w:val="Body Text Indent"/>
    <w:basedOn w:val="914"/>
    <w:link w:val="1004"/>
    <w:pPr>
      <w:pBdr/>
      <w:spacing w:after="120"/>
      <w:ind w:left="360"/>
    </w:pPr>
  </w:style>
  <w:style w:type="character" w:styleId="1004" w:customStyle="1">
    <w:name w:val="Body Text Indent Char"/>
    <w:link w:val="1003"/>
    <w:pPr>
      <w:pBdr/>
      <w:spacing/>
      <w:ind/>
    </w:pPr>
    <w:rPr>
      <w:sz w:val="24"/>
      <w:szCs w:val="24"/>
    </w:rPr>
  </w:style>
  <w:style w:type="paragraph" w:styleId="1005">
    <w:name w:val="Body Text First Indent 2"/>
    <w:basedOn w:val="1003"/>
    <w:link w:val="1006"/>
    <w:pPr>
      <w:pBdr/>
      <w:spacing/>
      <w:ind w:firstLine="210"/>
    </w:pPr>
  </w:style>
  <w:style w:type="character" w:styleId="1006" w:customStyle="1">
    <w:name w:val="Body Text First Indent 2 Char"/>
    <w:link w:val="1005"/>
    <w:pPr>
      <w:pBdr/>
      <w:spacing/>
      <w:ind/>
    </w:pPr>
    <w:rPr>
      <w:sz w:val="24"/>
      <w:szCs w:val="24"/>
    </w:rPr>
  </w:style>
  <w:style w:type="paragraph" w:styleId="1007">
    <w:name w:val="Body Text Indent 3"/>
    <w:basedOn w:val="914"/>
    <w:link w:val="1008"/>
    <w:pPr>
      <w:pBdr/>
      <w:spacing w:after="120"/>
      <w:ind w:left="360"/>
    </w:pPr>
    <w:rPr>
      <w:sz w:val="16"/>
      <w:szCs w:val="16"/>
    </w:rPr>
  </w:style>
  <w:style w:type="character" w:styleId="1008" w:customStyle="1">
    <w:name w:val="Body Text Indent 3 Char"/>
    <w:link w:val="1007"/>
    <w:pPr>
      <w:pBdr/>
      <w:spacing/>
      <w:ind/>
    </w:pPr>
    <w:rPr>
      <w:sz w:val="16"/>
      <w:szCs w:val="16"/>
    </w:rPr>
  </w:style>
  <w:style w:type="paragraph" w:styleId="1009">
    <w:name w:val="Closing"/>
    <w:basedOn w:val="914"/>
    <w:link w:val="1010"/>
    <w:pPr>
      <w:pBdr/>
      <w:spacing/>
      <w:ind w:left="4320"/>
    </w:pPr>
  </w:style>
  <w:style w:type="character" w:styleId="1010" w:customStyle="1">
    <w:name w:val="Closing Char"/>
    <w:link w:val="1009"/>
    <w:pPr>
      <w:pBdr/>
      <w:spacing/>
      <w:ind/>
    </w:pPr>
    <w:rPr>
      <w:sz w:val="24"/>
      <w:szCs w:val="24"/>
    </w:rPr>
  </w:style>
  <w:style w:type="paragraph" w:styleId="1011">
    <w:name w:val="Date"/>
    <w:basedOn w:val="914"/>
    <w:next w:val="914"/>
    <w:link w:val="1012"/>
    <w:pPr>
      <w:pBdr/>
      <w:spacing/>
      <w:ind/>
    </w:pPr>
  </w:style>
  <w:style w:type="character" w:styleId="1012" w:customStyle="1">
    <w:name w:val="Date Char"/>
    <w:link w:val="1011"/>
    <w:pPr>
      <w:pBdr/>
      <w:spacing/>
      <w:ind/>
    </w:pPr>
    <w:rPr>
      <w:sz w:val="24"/>
      <w:szCs w:val="24"/>
    </w:rPr>
  </w:style>
  <w:style w:type="paragraph" w:styleId="1013">
    <w:name w:val="E-mail Signature"/>
    <w:basedOn w:val="914"/>
    <w:link w:val="1014"/>
    <w:pPr>
      <w:pBdr/>
      <w:spacing/>
      <w:ind/>
    </w:pPr>
  </w:style>
  <w:style w:type="character" w:styleId="1014" w:customStyle="1">
    <w:name w:val="E-mail Signature Char"/>
    <w:link w:val="1013"/>
    <w:pPr>
      <w:pBdr/>
      <w:spacing/>
      <w:ind/>
    </w:pPr>
    <w:rPr>
      <w:sz w:val="24"/>
      <w:szCs w:val="24"/>
    </w:rPr>
  </w:style>
  <w:style w:type="paragraph" w:styleId="1015">
    <w:name w:val="envelope address"/>
    <w:basedOn w:val="914"/>
    <w:pPr>
      <w:framePr w:h="1980" w:hAnchor="page" w:hRule="exact" w:hSpace="180" w:w="7920" w:wrap="auto" w:xAlign="center" w:yAlign="bottom"/>
      <w:pBdr/>
      <w:spacing/>
      <w:ind w:left="2880"/>
    </w:pPr>
    <w:rPr>
      <w:rFonts w:ascii="Arial" w:hAnsi="Arial" w:cs="Arial"/>
    </w:rPr>
  </w:style>
  <w:style w:type="paragraph" w:styleId="1016">
    <w:name w:val="envelope return"/>
    <w:basedOn w:val="914"/>
    <w:pPr>
      <w:pBdr/>
      <w:spacing/>
      <w:ind/>
    </w:pPr>
    <w:rPr>
      <w:rFonts w:ascii="Arial" w:hAnsi="Arial" w:cs="Arial"/>
      <w:sz w:val="20"/>
      <w:szCs w:val="20"/>
    </w:rPr>
  </w:style>
  <w:style w:type="character" w:styleId="1017">
    <w:name w:val="FollowedHyperlink"/>
    <w:pPr>
      <w:pBdr/>
      <w:spacing/>
      <w:ind/>
    </w:pPr>
    <w:rPr>
      <w:color w:val="800080"/>
      <w:u w:val="single"/>
    </w:rPr>
  </w:style>
  <w:style w:type="character" w:styleId="1018">
    <w:name w:val="HTML Acronym"/>
    <w:pPr>
      <w:pBdr/>
      <w:spacing/>
      <w:ind/>
    </w:pPr>
  </w:style>
  <w:style w:type="paragraph" w:styleId="1019">
    <w:name w:val="HTML Address"/>
    <w:basedOn w:val="914"/>
    <w:link w:val="1020"/>
    <w:pPr>
      <w:pBdr/>
      <w:spacing/>
      <w:ind/>
    </w:pPr>
    <w:rPr>
      <w:i/>
      <w:iCs/>
    </w:rPr>
  </w:style>
  <w:style w:type="character" w:styleId="1020" w:customStyle="1">
    <w:name w:val="HTML Address Char"/>
    <w:link w:val="1019"/>
    <w:pPr>
      <w:pBdr/>
      <w:spacing/>
      <w:ind/>
    </w:pPr>
    <w:rPr>
      <w:i/>
      <w:iCs/>
      <w:sz w:val="24"/>
      <w:szCs w:val="24"/>
    </w:rPr>
  </w:style>
  <w:style w:type="character" w:styleId="1021">
    <w:name w:val="HTML Cite"/>
    <w:pPr>
      <w:pBdr/>
      <w:spacing/>
      <w:ind/>
    </w:pPr>
    <w:rPr>
      <w:i/>
      <w:iCs/>
    </w:rPr>
  </w:style>
  <w:style w:type="character" w:styleId="1022">
    <w:name w:val="HTML Code"/>
    <w:pPr>
      <w:pBdr/>
      <w:spacing/>
      <w:ind/>
    </w:pPr>
    <w:rPr>
      <w:rFonts w:ascii="Courier New" w:hAnsi="Courier New" w:cs="Courier New"/>
      <w:sz w:val="20"/>
      <w:szCs w:val="20"/>
    </w:rPr>
  </w:style>
  <w:style w:type="character" w:styleId="1023">
    <w:name w:val="HTML Definition"/>
    <w:pPr>
      <w:pBdr/>
      <w:spacing/>
      <w:ind/>
    </w:pPr>
    <w:rPr>
      <w:i/>
      <w:iCs/>
    </w:rPr>
  </w:style>
  <w:style w:type="character" w:styleId="1024">
    <w:name w:val="HTML Keyboard"/>
    <w:pPr>
      <w:pBdr/>
      <w:spacing/>
      <w:ind/>
    </w:pPr>
    <w:rPr>
      <w:rFonts w:ascii="Courier New" w:hAnsi="Courier New" w:cs="Courier New"/>
      <w:sz w:val="20"/>
      <w:szCs w:val="20"/>
    </w:rPr>
  </w:style>
  <w:style w:type="paragraph" w:styleId="1025">
    <w:name w:val="HTML Preformatted"/>
    <w:basedOn w:val="914"/>
    <w:link w:val="1026"/>
    <w:pPr>
      <w:pBdr/>
      <w:spacing/>
      <w:ind/>
    </w:pPr>
    <w:rPr>
      <w:rFonts w:ascii="Courier New" w:hAnsi="Courier New" w:cs="Courier New"/>
      <w:sz w:val="20"/>
      <w:szCs w:val="20"/>
    </w:rPr>
  </w:style>
  <w:style w:type="character" w:styleId="1026" w:customStyle="1">
    <w:name w:val="HTML Preformatted Char"/>
    <w:link w:val="1025"/>
    <w:pPr>
      <w:pBdr/>
      <w:spacing/>
      <w:ind/>
    </w:pPr>
    <w:rPr>
      <w:rFonts w:ascii="Courier New" w:hAnsi="Courier New" w:cs="Courier New"/>
    </w:rPr>
  </w:style>
  <w:style w:type="character" w:styleId="1027">
    <w:name w:val="HTML Sample"/>
    <w:pPr>
      <w:pBdr/>
      <w:spacing/>
      <w:ind/>
    </w:pPr>
    <w:rPr>
      <w:rFonts w:ascii="Courier New" w:hAnsi="Courier New" w:cs="Courier New"/>
    </w:rPr>
  </w:style>
  <w:style w:type="character" w:styleId="1028">
    <w:name w:val="HTML Typewriter"/>
    <w:pPr>
      <w:pBdr/>
      <w:spacing/>
      <w:ind/>
    </w:pPr>
    <w:rPr>
      <w:rFonts w:ascii="Courier New" w:hAnsi="Courier New" w:cs="Courier New"/>
      <w:sz w:val="20"/>
      <w:szCs w:val="20"/>
    </w:rPr>
  </w:style>
  <w:style w:type="character" w:styleId="1029">
    <w:name w:val="HTML Variable"/>
    <w:pPr>
      <w:pBdr/>
      <w:spacing/>
      <w:ind/>
    </w:pPr>
    <w:rPr>
      <w:i/>
      <w:iCs/>
    </w:rPr>
  </w:style>
  <w:style w:type="character" w:styleId="1030">
    <w:name w:val="line number"/>
    <w:pPr>
      <w:pBdr/>
      <w:spacing/>
      <w:ind/>
    </w:pPr>
  </w:style>
  <w:style w:type="paragraph" w:styleId="1031">
    <w:name w:val="List"/>
    <w:basedOn w:val="914"/>
    <w:pPr>
      <w:pBdr/>
      <w:spacing/>
      <w:ind w:hanging="360" w:left="360"/>
    </w:pPr>
  </w:style>
  <w:style w:type="paragraph" w:styleId="1032">
    <w:name w:val="List 2"/>
    <w:basedOn w:val="914"/>
    <w:pPr>
      <w:pBdr/>
      <w:spacing/>
      <w:ind w:hanging="360" w:left="720"/>
    </w:pPr>
  </w:style>
  <w:style w:type="paragraph" w:styleId="1033">
    <w:name w:val="List 3"/>
    <w:basedOn w:val="914"/>
    <w:pPr>
      <w:pBdr/>
      <w:spacing/>
      <w:ind w:hanging="360" w:left="1080"/>
    </w:pPr>
  </w:style>
  <w:style w:type="paragraph" w:styleId="1034">
    <w:name w:val="List 4"/>
    <w:basedOn w:val="914"/>
    <w:pPr>
      <w:pBdr/>
      <w:spacing/>
      <w:ind w:hanging="360" w:left="1440"/>
    </w:pPr>
  </w:style>
  <w:style w:type="paragraph" w:styleId="1035">
    <w:name w:val="List 5"/>
    <w:basedOn w:val="914"/>
    <w:pPr>
      <w:pBdr/>
      <w:spacing/>
      <w:ind w:hanging="360" w:left="1800"/>
    </w:pPr>
  </w:style>
  <w:style w:type="paragraph" w:styleId="1036">
    <w:name w:val="List Bullet"/>
    <w:basedOn w:val="914"/>
    <w:pPr>
      <w:numPr>
        <w:numId w:val="9"/>
      </w:numPr>
      <w:pBdr/>
      <w:spacing/>
      <w:ind/>
    </w:pPr>
  </w:style>
  <w:style w:type="paragraph" w:styleId="1037">
    <w:name w:val="List Bullet 2"/>
    <w:basedOn w:val="914"/>
    <w:pPr>
      <w:numPr>
        <w:numId w:val="10"/>
      </w:numPr>
      <w:pBdr/>
      <w:spacing/>
      <w:ind/>
    </w:pPr>
  </w:style>
  <w:style w:type="paragraph" w:styleId="1038">
    <w:name w:val="List Bullet 3"/>
    <w:basedOn w:val="914"/>
    <w:pPr>
      <w:numPr>
        <w:numId w:val="11"/>
      </w:numPr>
      <w:pBdr/>
      <w:spacing/>
      <w:ind/>
    </w:pPr>
  </w:style>
  <w:style w:type="paragraph" w:styleId="1039">
    <w:name w:val="List Bullet 4"/>
    <w:basedOn w:val="914"/>
    <w:pPr>
      <w:numPr>
        <w:numId w:val="12"/>
      </w:numPr>
      <w:pBdr/>
      <w:spacing/>
      <w:ind/>
    </w:pPr>
  </w:style>
  <w:style w:type="paragraph" w:styleId="1040">
    <w:name w:val="List Bullet 5"/>
    <w:basedOn w:val="914"/>
    <w:pPr>
      <w:numPr>
        <w:numId w:val="13"/>
      </w:numPr>
      <w:pBdr/>
      <w:spacing/>
      <w:ind/>
    </w:pPr>
  </w:style>
  <w:style w:type="paragraph" w:styleId="1041">
    <w:name w:val="List Continue"/>
    <w:basedOn w:val="914"/>
    <w:pPr>
      <w:pBdr/>
      <w:spacing w:after="120"/>
      <w:ind w:left="360"/>
    </w:pPr>
  </w:style>
  <w:style w:type="paragraph" w:styleId="1042">
    <w:name w:val="List Continue 2"/>
    <w:basedOn w:val="914"/>
    <w:pPr>
      <w:pBdr/>
      <w:spacing w:after="120"/>
      <w:ind w:left="720"/>
    </w:pPr>
  </w:style>
  <w:style w:type="paragraph" w:styleId="1043">
    <w:name w:val="List Continue 3"/>
    <w:basedOn w:val="914"/>
    <w:pPr>
      <w:pBdr/>
      <w:spacing w:after="120"/>
      <w:ind w:left="1080"/>
    </w:pPr>
  </w:style>
  <w:style w:type="paragraph" w:styleId="1044">
    <w:name w:val="List Continue 4"/>
    <w:basedOn w:val="914"/>
    <w:pPr>
      <w:pBdr/>
      <w:spacing w:after="120"/>
      <w:ind w:left="1440"/>
    </w:pPr>
  </w:style>
  <w:style w:type="paragraph" w:styleId="1045">
    <w:name w:val="List Continue 5"/>
    <w:basedOn w:val="914"/>
    <w:pPr>
      <w:pBdr/>
      <w:spacing w:after="120"/>
      <w:ind w:left="1800"/>
    </w:pPr>
  </w:style>
  <w:style w:type="paragraph" w:styleId="1046">
    <w:name w:val="List Number"/>
    <w:basedOn w:val="914"/>
    <w:pPr>
      <w:numPr>
        <w:numId w:val="14"/>
      </w:numPr>
      <w:pBdr/>
      <w:spacing/>
      <w:ind/>
    </w:pPr>
  </w:style>
  <w:style w:type="paragraph" w:styleId="1047">
    <w:name w:val="List Number 2"/>
    <w:basedOn w:val="914"/>
    <w:pPr>
      <w:numPr>
        <w:numId w:val="15"/>
      </w:numPr>
      <w:pBdr/>
      <w:spacing/>
      <w:ind/>
    </w:pPr>
  </w:style>
  <w:style w:type="paragraph" w:styleId="1048">
    <w:name w:val="List Number 3"/>
    <w:basedOn w:val="914"/>
    <w:pPr>
      <w:numPr>
        <w:numId w:val="16"/>
      </w:numPr>
      <w:pBdr/>
      <w:spacing/>
      <w:ind/>
    </w:pPr>
  </w:style>
  <w:style w:type="paragraph" w:styleId="1049">
    <w:name w:val="List Number 4"/>
    <w:basedOn w:val="914"/>
    <w:pPr>
      <w:numPr>
        <w:numId w:val="17"/>
      </w:numPr>
      <w:pBdr/>
      <w:spacing/>
      <w:ind/>
    </w:pPr>
  </w:style>
  <w:style w:type="paragraph" w:styleId="1050">
    <w:name w:val="List Number 5"/>
    <w:basedOn w:val="914"/>
    <w:pPr>
      <w:numPr>
        <w:numId w:val="18"/>
      </w:numPr>
      <w:pBdr/>
      <w:spacing/>
      <w:ind/>
    </w:pPr>
  </w:style>
  <w:style w:type="paragraph" w:styleId="1051">
    <w:name w:val="Message Header"/>
    <w:basedOn w:val="914"/>
    <w:link w:val="1052"/>
    <w:pPr>
      <w:pBdr>
        <w:top w:val="single" w:color="000000" w:sz="6" w:space="1"/>
        <w:left w:val="single" w:color="000000" w:sz="6" w:space="1"/>
        <w:bottom w:val="single" w:color="000000" w:sz="6" w:space="1"/>
        <w:right w:val="single" w:color="000000" w:sz="6" w:space="1"/>
      </w:pBdr>
      <w:shd w:val="pct20" w:color="auto" w:fill="auto"/>
      <w:spacing/>
      <w:ind w:hanging="1080" w:left="1080"/>
    </w:pPr>
    <w:rPr>
      <w:rFonts w:ascii="Arial" w:hAnsi="Arial" w:cs="Arial"/>
    </w:rPr>
  </w:style>
  <w:style w:type="character" w:styleId="1052" w:customStyle="1">
    <w:name w:val="Message Header Char"/>
    <w:link w:val="1051"/>
    <w:pPr>
      <w:pBdr/>
      <w:spacing/>
      <w:ind/>
    </w:pPr>
    <w:rPr>
      <w:rFonts w:ascii="Arial" w:hAnsi="Arial" w:cs="Arial"/>
      <w:sz w:val="24"/>
      <w:szCs w:val="24"/>
      <w:shd w:val="pct20" w:color="auto" w:fill="auto"/>
    </w:rPr>
  </w:style>
  <w:style w:type="paragraph" w:styleId="1053">
    <w:name w:val="Normal Indent"/>
    <w:basedOn w:val="914"/>
    <w:pPr>
      <w:pBdr/>
      <w:spacing/>
      <w:ind w:left="720"/>
    </w:pPr>
  </w:style>
  <w:style w:type="paragraph" w:styleId="1054">
    <w:name w:val="Note Heading"/>
    <w:basedOn w:val="914"/>
    <w:next w:val="914"/>
    <w:link w:val="1055"/>
    <w:pPr>
      <w:pBdr/>
      <w:spacing/>
      <w:ind/>
    </w:pPr>
  </w:style>
  <w:style w:type="character" w:styleId="1055" w:customStyle="1">
    <w:name w:val="Note Heading Char"/>
    <w:link w:val="1054"/>
    <w:pPr>
      <w:pBdr/>
      <w:spacing/>
      <w:ind/>
    </w:pPr>
    <w:rPr>
      <w:sz w:val="24"/>
      <w:szCs w:val="24"/>
    </w:rPr>
  </w:style>
  <w:style w:type="paragraph" w:styleId="1056">
    <w:name w:val="Plain Text"/>
    <w:basedOn w:val="914"/>
    <w:link w:val="1057"/>
    <w:pPr>
      <w:pBdr/>
      <w:spacing/>
      <w:ind/>
    </w:pPr>
    <w:rPr>
      <w:rFonts w:ascii="Courier New" w:hAnsi="Courier New" w:cs="Courier New"/>
      <w:sz w:val="20"/>
      <w:szCs w:val="20"/>
    </w:rPr>
  </w:style>
  <w:style w:type="character" w:styleId="1057" w:customStyle="1">
    <w:name w:val="Plain Text Char"/>
    <w:link w:val="1056"/>
    <w:pPr>
      <w:pBdr/>
      <w:spacing/>
      <w:ind/>
    </w:pPr>
    <w:rPr>
      <w:rFonts w:ascii="Courier New" w:hAnsi="Courier New" w:cs="Courier New"/>
    </w:rPr>
  </w:style>
  <w:style w:type="paragraph" w:styleId="1058">
    <w:name w:val="Salutation"/>
    <w:basedOn w:val="914"/>
    <w:next w:val="914"/>
    <w:link w:val="1059"/>
    <w:pPr>
      <w:pBdr/>
      <w:spacing/>
      <w:ind/>
    </w:pPr>
  </w:style>
  <w:style w:type="character" w:styleId="1059" w:customStyle="1">
    <w:name w:val="Salutation Char"/>
    <w:link w:val="1058"/>
    <w:pPr>
      <w:pBdr/>
      <w:spacing/>
      <w:ind/>
    </w:pPr>
    <w:rPr>
      <w:sz w:val="24"/>
      <w:szCs w:val="24"/>
    </w:rPr>
  </w:style>
  <w:style w:type="paragraph" w:styleId="1060">
    <w:name w:val="Signature"/>
    <w:basedOn w:val="914"/>
    <w:link w:val="1061"/>
    <w:pPr>
      <w:pBdr/>
      <w:spacing/>
      <w:ind w:left="4320"/>
    </w:pPr>
  </w:style>
  <w:style w:type="character" w:styleId="1061" w:customStyle="1">
    <w:name w:val="Signature Char"/>
    <w:link w:val="1060"/>
    <w:pPr>
      <w:pBdr/>
      <w:spacing/>
      <w:ind/>
    </w:pPr>
    <w:rPr>
      <w:sz w:val="24"/>
      <w:szCs w:val="24"/>
    </w:rPr>
  </w:style>
  <w:style w:type="paragraph" w:styleId="1062">
    <w:name w:val="Subtitle"/>
    <w:basedOn w:val="914"/>
    <w:link w:val="1063"/>
    <w:qFormat/>
    <w:pPr>
      <w:pBdr/>
      <w:spacing w:after="60"/>
      <w:ind/>
      <w:jc w:val="center"/>
      <w:outlineLvl w:val="1"/>
    </w:pPr>
    <w:rPr>
      <w:rFonts w:ascii="Arial" w:hAnsi="Arial" w:cs="Arial"/>
    </w:rPr>
  </w:style>
  <w:style w:type="character" w:styleId="1063" w:customStyle="1">
    <w:name w:val="Subtitle Char"/>
    <w:link w:val="1062"/>
    <w:pPr>
      <w:pBdr/>
      <w:spacing/>
      <w:ind/>
    </w:pPr>
    <w:rPr>
      <w:rFonts w:ascii="Arial" w:hAnsi="Arial" w:cs="Arial"/>
      <w:sz w:val="24"/>
      <w:szCs w:val="24"/>
    </w:rPr>
  </w:style>
  <w:style w:type="table" w:styleId="1064">
    <w:name w:val="Table 3D effects 1"/>
    <w:basedOn w:val="925"/>
    <w:pPr>
      <w:pBdr/>
      <w:spacing/>
      <w:ind/>
    </w:pPr>
    <w:rPr>
      <w:rFonts w:eastAsia="Calibri"/>
    </w:rPr>
    <w:tblPr>
      <w:tblBorders/>
    </w:tblPr>
    <w:tcPr>
      <w:shd w:val="solid" w:color="c0c0c0" w:fill="ffffff"/>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right w:val="single" w:color="808080" w:sz="6" w:space="0"/>
        </w:tcBorders>
      </w:tcPr>
    </w:tblStylePr>
    <w:tblStylePr w:type="firstRow">
      <w:rPr>
        <w:b/>
        <w:bCs/>
        <w:color w:val="800080"/>
      </w:rPr>
      <w:pPr>
        <w:pBdr/>
        <w:spacing/>
        <w:ind/>
      </w:pPr>
      <w:tblPr>
        <w:tblBorders/>
      </w:tblPr>
      <w:tcPr>
        <w:tcBorders>
          <w:bottom w:val="single" w:color="808080" w:sz="6" w:space="0"/>
        </w:tcBorders>
      </w:tcPr>
    </w:tblStylePr>
    <w:tblStylePr w:type="lastCol">
      <w:pPr>
        <w:pBdr/>
        <w:spacing/>
        <w:ind/>
      </w:pPr>
      <w:tblPr>
        <w:tblBorders/>
      </w:tblPr>
      <w:tcPr>
        <w:tcBorders>
          <w:left w:val="single" w:color="ffffff" w:sz="6" w:space="0"/>
        </w:tcBorders>
      </w:tcPr>
    </w:tblStylePr>
    <w:tblStylePr w:type="lastRow">
      <w:pPr>
        <w:pBdr/>
        <w:spacing/>
        <w:ind/>
      </w:pPr>
      <w:tblPr>
        <w:tblBorders/>
      </w:tblPr>
      <w:tcPr>
        <w:tcBorders>
          <w:top w:val="single" w:color="ffffff" w:sz="6" w:space="0"/>
        </w:tcBorders>
      </w:tcPr>
    </w:tblStylePr>
    <w:tblStylePr w:type="nwCell">
      <w:pPr>
        <w:pBdr/>
        <w:spacing/>
        <w:ind/>
      </w:pPr>
      <w:tblPr>
        <w:tblBorders/>
      </w:tblPr>
      <w:tcPr>
        <w:tcBorders>
          <w:bottom w:val="none" w:color="000000" w:sz="0" w:space="0"/>
          <w:right w:val="none" w:color="000000" w:sz="0" w:space="0"/>
        </w:tcBorders>
      </w:tcPr>
    </w:tblStylePr>
    <w:tblStylePr w:type="neCell">
      <w:pPr>
        <w:pBdr/>
        <w:spacing/>
        <w:ind/>
      </w:pPr>
      <w:tblPr>
        <w:tblBorders/>
      </w:tblPr>
      <w:tcPr>
        <w:tcBorders>
          <w:left w:val="none" w:color="000000" w:sz="0" w:space="0"/>
          <w:bottom w:val="none" w:color="000000" w:sz="0" w:space="0"/>
        </w:tcBorders>
      </w:tcPr>
    </w:tblStylePr>
    <w:tblStylePr w:type="swCell">
      <w:rPr>
        <w:color w:val="000080"/>
      </w:rPr>
      <w:pPr>
        <w:pBdr/>
        <w:spacing/>
        <w:ind/>
      </w:pPr>
      <w:tblPr>
        <w:tblBorders/>
      </w:tblPr>
      <w:tcPr>
        <w:tcBorders>
          <w:top w:val="none" w:color="000000" w:sz="0" w:space="0"/>
          <w:right w:val="none" w:color="000000" w:sz="0" w:space="0"/>
        </w:tcBorders>
      </w:tcPr>
    </w:tblStylePr>
    <w:tblStylePr w:type="seCell">
      <w:pPr>
        <w:pBdr/>
        <w:spacing/>
        <w:ind/>
      </w:pPr>
      <w:tblPr>
        <w:tblBorders/>
      </w:tblPr>
      <w:tcPr>
        <w:tcBorders>
          <w:top w:val="none" w:color="000000" w:sz="0" w:space="0"/>
          <w:left w:val="none" w:color="000000" w:sz="0" w:space="0"/>
        </w:tcBorders>
      </w:tcPr>
    </w:tblStylePr>
    <w:tblStylePr w:type="wholeTable">
      <w:pPr>
        <w:pBdr/>
        <w:spacing/>
        <w:ind/>
      </w:pPr>
      <w:tblPr>
        <w:tblBorders/>
      </w:tblPr>
      <w:tcPr>
        <w:tcBorders/>
      </w:tcPr>
    </w:tblStylePr>
  </w:style>
  <w:style w:type="table" w:styleId="1065">
    <w:name w:val="Table 3D effects 2"/>
    <w:basedOn w:val="925"/>
    <w:pPr>
      <w:pBdr/>
      <w:spacing/>
      <w:ind/>
    </w:pPr>
    <w:rPr>
      <w:rFonts w:eastAsia="Calibri"/>
    </w:rPr>
    <w:tblPr>
      <w:tblStyleRowBandSize w:val="1"/>
      <w:tblBorders/>
    </w:tblPr>
    <w:tcPr>
      <w:shd w:val="solid" w:color="c0c0c0" w:fill="ffffff"/>
      <w:tcBorders/>
    </w:tcPr>
    <w:tblStylePr w:type="band1Horz">
      <w:pPr>
        <w:pBdr/>
        <w:spacing/>
        <w:ind/>
      </w:pPr>
      <w:tblPr>
        <w:tblBorders/>
      </w:tblPr>
      <w:tcPr>
        <w:tcBorders>
          <w:top w:val="single" w:color="808080" w:sz="6" w:space="0"/>
          <w:bottom w:val="single" w:color="ffffff" w:sz="6"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op w:val="none" w:color="000000" w:sz="0" w:space="0"/>
          <w:bottom w:val="none" w:color="000000" w:sz="0" w:space="0"/>
          <w:right w:val="single" w:color="808080" w:sz="6" w:space="0"/>
        </w:tcBorders>
      </w:tcPr>
    </w:tblStylePr>
    <w:tblStylePr w:type="firstRow">
      <w:rPr>
        <w:b/>
        <w:bCs/>
      </w:rPr>
      <w:pPr>
        <w:pBdr/>
        <w:spacing/>
        <w:ind/>
      </w:pPr>
      <w:tblPr>
        <w:tblBorders/>
      </w:tblPr>
      <w:tcPr>
        <w:tcBorders/>
      </w:tcPr>
    </w:tblStylePr>
    <w:tblStylePr w:type="lastCol">
      <w:pPr>
        <w:pBdr/>
        <w:spacing/>
        <w:ind/>
      </w:pPr>
      <w:tblPr>
        <w:tblBorders/>
      </w:tblPr>
      <w:tcPr>
        <w:tcBorders>
          <w:right w:val="single" w:color="ffffff" w:sz="6" w:space="0"/>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rPr>
        <w:b/>
        <w:bCs/>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Table 3D effects 3"/>
    <w:basedOn w:val="925"/>
    <w:pPr>
      <w:pBdr/>
      <w:spacing/>
      <w:ind/>
    </w:pPr>
    <w:rPr>
      <w:rFonts w:eastAsia="Calibri"/>
    </w:rPr>
    <w:tblPr>
      <w:tblStyleRowBandSize w:val="1"/>
      <w:tblStyleColBandSize w:val="1"/>
      <w:tblBorders/>
    </w:tblPr>
    <w:tcPr>
      <w:tcBorders/>
    </w:tcPr>
    <w:tblStylePr w:type="band1Horz">
      <w:pPr>
        <w:pBdr/>
        <w:spacing/>
        <w:ind/>
      </w:pPr>
      <w:tblPr>
        <w:tblBorders/>
      </w:tblPr>
      <w:tcPr>
        <w:tcBorders>
          <w:top w:val="single" w:color="808080" w:sz="6" w:space="0"/>
          <w:bottom w:val="single" w:color="ffffff" w:sz="6" w:space="0"/>
        </w:tcBorders>
      </w:tcPr>
    </w:tblStylePr>
    <w:tblStylePr w:type="band1Vert">
      <w:rPr>
        <w:color w:val="auto"/>
      </w:rPr>
      <w:pPr>
        <w:pBdr/>
        <w:spacing/>
        <w:ind/>
      </w:pPr>
      <w:tblPr>
        <w:tblBorders/>
      </w:tblPr>
      <w:tcPr>
        <w:shd w:val="solid" w:color="c0c0c0" w:fill="ffffff"/>
        <w:tcBorders/>
      </w:tcPr>
    </w:tblStylePr>
    <w:tblStylePr w:type="band2Horz">
      <w:pPr>
        <w:pBdr/>
        <w:spacing/>
        <w:ind/>
      </w:pPr>
      <w:tblPr>
        <w:tblBorders/>
      </w:tblPr>
      <w:tcPr>
        <w:tcBorders/>
      </w:tcPr>
    </w:tblStylePr>
    <w:tblStylePr w:type="band2Vert">
      <w:rPr>
        <w:color w:val="auto"/>
      </w:rPr>
      <w:pPr>
        <w:pBdr/>
        <w:spacing/>
        <w:ind/>
      </w:pPr>
      <w:tblPr>
        <w:tblBorders/>
      </w:tblPr>
      <w:tcPr>
        <w:shd w:val="pct50" w:color="c0c0c0" w:fill="ffffff"/>
        <w:tcBorders/>
      </w:tcPr>
    </w:tblStylePr>
    <w:tblStylePr w:type="firstCol">
      <w:pPr>
        <w:pBdr/>
        <w:spacing/>
        <w:ind/>
      </w:pPr>
      <w:tblPr>
        <w:tblBorders/>
      </w:tblPr>
      <w:tcPr>
        <w:tcBorders>
          <w:top w:val="none" w:color="000000" w:sz="0" w:space="0"/>
          <w:bottom w:val="none" w:color="000000" w:sz="0" w:space="0"/>
          <w:right w:val="single" w:color="808080" w:sz="6" w:space="0"/>
        </w:tcBorders>
      </w:tcPr>
    </w:tblStylePr>
    <w:tblStylePr w:type="firstRow">
      <w:rPr>
        <w:b/>
        <w:bCs/>
      </w:rPr>
      <w:pPr>
        <w:pBdr/>
        <w:spacing/>
        <w:ind/>
      </w:pPr>
      <w:tblPr>
        <w:tblBorders/>
      </w:tblPr>
      <w:tcPr>
        <w:tcBorders/>
      </w:tcPr>
    </w:tblStylePr>
    <w:tblStylePr w:type="lastCol">
      <w:pPr>
        <w:pBdr/>
        <w:spacing/>
        <w:ind/>
      </w:pPr>
      <w:tblPr>
        <w:tblBorders/>
      </w:tblPr>
      <w:tcPr>
        <w:tcBorders>
          <w:right w:val="single" w:color="ffffff" w:sz="6" w:space="0"/>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rPr>
        <w:b/>
        <w:bCs/>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Table Classic 1"/>
    <w:basedOn w:val="925"/>
    <w:pPr>
      <w:pBdr/>
      <w:spacing/>
      <w:ind/>
    </w:pPr>
    <w:rPr>
      <w:rFonts w:eastAsia="Calibri"/>
    </w:rPr>
    <w:tblPr>
      <w:tblBorders>
        <w:top w:val="single" w:color="000000" w:sz="12" w:space="0"/>
        <w:bottom w:val="single" w:color="000000" w:sz="12"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right w:val="single" w:color="000000" w:sz="6" w:space="0"/>
        </w:tcBorders>
      </w:tcPr>
    </w:tblStylePr>
    <w:tblStylePr w:type="firstRow">
      <w:rPr>
        <w:i/>
        <w:iCs/>
      </w:rPr>
      <w:pPr>
        <w:pBdr/>
        <w:spacing/>
        <w:ind/>
      </w:pPr>
      <w:tblPr>
        <w:tblBorders/>
      </w:tblPr>
      <w:tcPr>
        <w:tcBorders>
          <w:bottom w:val="single" w:color="000000" w:sz="6" w:space="0"/>
        </w:tcBorders>
      </w:tcPr>
    </w:tblStylePr>
    <w:tblStylePr w:type="lastCol">
      <w:pPr>
        <w:pBdr/>
        <w:spacing/>
        <w:ind/>
      </w:pPr>
      <w:tblPr>
        <w:tblBorders/>
      </w:tblPr>
      <w:tcPr>
        <w:tcBorders/>
      </w:tcPr>
    </w:tblStylePr>
    <w:tblStylePr w:type="lastRow">
      <w:rPr>
        <w:color w:val="auto"/>
      </w:rPr>
      <w:pPr>
        <w:pBdr/>
        <w:spacing/>
        <w:ind/>
      </w:pPr>
      <w:tblPr>
        <w:tblBorders/>
      </w:tblPr>
      <w:tcPr>
        <w:tcBorders>
          <w:top w:val="single" w:color="000000" w:sz="6" w:space="0"/>
        </w:tcBorders>
      </w:tcPr>
    </w:tblStylePr>
    <w:tblStylePr w:type="nwCell">
      <w:pPr>
        <w:pBdr/>
        <w:spacing/>
        <w:ind/>
      </w:pPr>
      <w:tblPr>
        <w:tblBorders/>
      </w:tblPr>
      <w:tcPr>
        <w:tcBorders/>
      </w:tcPr>
    </w:tblStylePr>
    <w:tblStylePr w:type="neCell">
      <w:rPr>
        <w:b/>
        <w:bCs/>
        <w:i w:val="0"/>
        <w:iCs w:val="0"/>
      </w:rPr>
      <w:pPr>
        <w:pBdr/>
        <w:spacing/>
        <w:ind/>
      </w:pPr>
      <w:tblPr>
        <w:tblBorders/>
      </w:tblPr>
      <w:tcPr>
        <w:tcBorders/>
      </w:tcPr>
    </w:tblStylePr>
    <w:tblStylePr w:type="swCell">
      <w:rPr>
        <w:b/>
        <w:bCs/>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Table Classic 2"/>
    <w:basedOn w:val="925"/>
    <w:pPr>
      <w:pBdr/>
      <w:spacing/>
      <w:ind/>
    </w:pPr>
    <w:rPr>
      <w:rFonts w:eastAsia="Calibri"/>
    </w:rPr>
    <w:tblPr>
      <w:tblBorders>
        <w:top w:val="single" w:color="000000" w:sz="12" w:space="0"/>
        <w:bottom w:val="single" w:color="000000" w:sz="12"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shd w:val="solid" w:color="c0c0c0" w:fill="ffffff"/>
        <w:tcBorders/>
      </w:tcPr>
    </w:tblStylePr>
    <w:tblStylePr w:type="firstRow">
      <w:rPr>
        <w:color w:val="ffffff"/>
      </w:rPr>
      <w:pPr>
        <w:pBdr/>
        <w:spacing/>
        <w:ind/>
      </w:pPr>
      <w:tblPr>
        <w:tblBorders/>
      </w:tblPr>
      <w:tcPr>
        <w:shd w:val="solid" w:color="800080" w:fill="ffffff"/>
        <w:tcBorders>
          <w:bottom w:val="single" w:color="000000" w:sz="6" w:space="0"/>
        </w:tcBorders>
      </w:tcPr>
    </w:tblStylePr>
    <w:tblStylePr w:type="lastCol">
      <w:pPr>
        <w:pBdr/>
        <w:spacing/>
        <w:ind/>
      </w:pPr>
      <w:tblPr>
        <w:tblBorders/>
      </w:tblPr>
      <w:tcPr>
        <w:tcBorders/>
      </w:tcPr>
    </w:tblStylePr>
    <w:tblStylePr w:type="lastRow">
      <w:pPr>
        <w:pBdr/>
        <w:spacing/>
        <w:ind/>
      </w:pPr>
      <w:tblPr>
        <w:tblBorders/>
      </w:tblPr>
      <w:tcPr>
        <w:tcBorders>
          <w:top w:val="single" w:color="000000" w:sz="6" w:space="0"/>
        </w:tcBorders>
      </w:tcPr>
    </w:tblStylePr>
    <w:tblStylePr w:type="nwCell">
      <w:pPr>
        <w:pBdr/>
        <w:spacing/>
        <w:ind/>
      </w:pPr>
      <w:tblPr>
        <w:tblBorders/>
      </w:tblPr>
      <w:tcPr>
        <w:shd w:val="solid" w:color="800080" w:fill="ffffff"/>
        <w:tcBorders/>
      </w:tcPr>
    </w:tblStylePr>
    <w:tblStylePr w:type="neCell">
      <w:rPr>
        <w:b/>
        <w:bCs/>
      </w:rPr>
      <w:pPr>
        <w:pBdr/>
        <w:spacing/>
        <w:ind/>
      </w:pPr>
      <w:tblPr>
        <w:tblBorders/>
      </w:tblPr>
      <w:tcPr>
        <w:tcBorders/>
      </w:tcPr>
    </w:tblStylePr>
    <w:tblStylePr w:type="swCell">
      <w:rPr>
        <w:color w:val="000080"/>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Table Classic 3"/>
    <w:basedOn w:val="925"/>
    <w:pPr>
      <w:pBdr/>
      <w:spacing/>
      <w:ind/>
    </w:pPr>
    <w:rPr>
      <w:rFonts w:eastAsia="Calibri"/>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rPr>
      <w:pPr>
        <w:pBdr/>
        <w:spacing/>
        <w:ind/>
      </w:pPr>
      <w:tblPr>
        <w:tblBorders/>
      </w:tblPr>
      <w:tcPr>
        <w:tcBorders/>
      </w:tcPr>
    </w:tblStylePr>
    <w:tblStylePr w:type="firstRow">
      <w:rPr>
        <w:b/>
        <w:bCs/>
        <w:i/>
        <w:iCs/>
        <w:color w:val="ffffff"/>
      </w:rPr>
      <w:pPr>
        <w:pBdr/>
        <w:spacing/>
        <w:ind/>
      </w:pPr>
      <w:tblPr>
        <w:tblBorders/>
      </w:tblPr>
      <w:tcPr>
        <w:shd w:val="solid" w:color="000080" w:fill="ffffff"/>
        <w:tcBorders>
          <w:bottom w:val="single" w:color="000000" w:sz="6" w:space="0"/>
        </w:tcBorders>
      </w:tcPr>
    </w:tblStylePr>
    <w:tblStylePr w:type="lastCol">
      <w:pPr>
        <w:pBdr/>
        <w:spacing/>
        <w:ind/>
      </w:pPr>
      <w:tblPr>
        <w:tblBorders/>
      </w:tblPr>
      <w:tcPr>
        <w:tcBorders/>
      </w:tcPr>
    </w:tblStylePr>
    <w:tblStylePr w:type="lastRow">
      <w:rPr>
        <w:color w:val="000080"/>
      </w:rPr>
      <w:pPr>
        <w:pBdr/>
        <w:spacing/>
        <w:ind/>
      </w:pPr>
      <w:tblPr>
        <w:tblBorders/>
      </w:tblPr>
      <w:tcPr>
        <w:shd w:val="solid" w:color="ffffff" w:fill="ffffff"/>
        <w:tcBorders>
          <w:top w:val="single" w:color="0000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Table Classic 4"/>
    <w:basedOn w:val="925"/>
    <w:pPr>
      <w:pBdr/>
      <w:spacing/>
      <w:ind/>
    </w:pPr>
    <w:rPr>
      <w:rFonts w:eastAsia="Calibri"/>
    </w:rPr>
    <w:tblPr>
      <w:tblBorders>
        <w:top w:val="single" w:color="000000" w:sz="12" w:space="0"/>
        <w:left w:val="single" w:color="000000" w:sz="6" w:space="0"/>
        <w:bottom w:val="single" w:color="000000" w:sz="12" w:space="0"/>
        <w:right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i/>
        <w:iCs/>
        <w:color w:val="ffffff"/>
      </w:rPr>
      <w:pPr>
        <w:pBdr/>
        <w:spacing/>
        <w:ind/>
      </w:pPr>
      <w:tblPr>
        <w:tblBorders/>
      </w:tblPr>
      <w:tcPr>
        <w:shd w:val="pct50" w:color="000080" w:fill="ffffff"/>
        <w:tcBorders>
          <w:bottom w:val="single" w:color="000000" w:sz="6" w:space="0"/>
        </w:tcBorders>
      </w:tcPr>
    </w:tblStylePr>
    <w:tblStylePr w:type="lastCol">
      <w:pPr>
        <w:pBdr/>
        <w:spacing/>
        <w:ind/>
      </w:pPr>
      <w:tblPr>
        <w:tblBorders/>
      </w:tblPr>
      <w:tcPr>
        <w:tcBorders/>
      </w:tcPr>
    </w:tblStylePr>
    <w:tblStylePr w:type="lastRow">
      <w:rPr>
        <w:color w:val="000080"/>
      </w:rPr>
      <w:pPr>
        <w:pBdr/>
        <w:spacing/>
        <w:ind/>
      </w:pPr>
      <w:tblPr>
        <w:tblBorders/>
      </w:tblPr>
      <w:tcPr>
        <w:shd w:val="pct50" w:color="000000" w:fill="ffffff"/>
        <w:tcBorders>
          <w:bottom w:val="single" w:color="000000" w:sz="6" w:space="0"/>
        </w:tcBorders>
      </w:tcPr>
    </w:tblStylePr>
    <w:tblStylePr w:type="nwCell">
      <w:rPr>
        <w:b/>
        <w:bCs/>
      </w:rPr>
      <w:pPr>
        <w:pBdr/>
        <w:spacing/>
        <w:ind/>
      </w:pPr>
      <w:tblPr>
        <w:tblBorders/>
      </w:tblPr>
      <w:tcPr>
        <w:tcBorders/>
      </w:tcPr>
    </w:tblStylePr>
    <w:tblStylePr w:type="neCell">
      <w:pPr>
        <w:pBdr/>
        <w:spacing/>
        <w:ind/>
      </w:pPr>
      <w:tblPr>
        <w:tblBorders/>
      </w:tblPr>
      <w:tcPr>
        <w:tcBorders/>
      </w:tcPr>
    </w:tblStylePr>
    <w:tblStylePr w:type="swCell">
      <w:rPr>
        <w:color w:val="000080"/>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Table Colorful 1"/>
    <w:basedOn w:val="925"/>
    <w:pPr>
      <w:pBdr/>
      <w:spacing/>
      <w:ind/>
    </w:pPr>
    <w:rPr>
      <w:rFonts w:eastAsia="Calibri"/>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iCs/>
      </w:rPr>
      <w:pPr>
        <w:pBdr/>
        <w:spacing/>
        <w:ind/>
      </w:pPr>
      <w:tblPr>
        <w:tblBorders/>
      </w:tblPr>
      <w:tcPr>
        <w:shd w:val="solid" w:color="000080" w:fill="ffffff"/>
        <w:tcBorders/>
      </w:tcPr>
    </w:tblStylePr>
    <w:tblStylePr w:type="firstRow">
      <w:rPr>
        <w:b/>
        <w:bCs/>
        <w:i/>
        <w:iCs/>
      </w:rPr>
      <w:pPr>
        <w:pBdr/>
        <w:spacing/>
        <w:ind/>
      </w:pPr>
      <w:tblPr>
        <w:tblBorders/>
      </w:tblPr>
      <w:tcPr>
        <w:shd w:val="solid" w:color="000000" w:fill="ffffff"/>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shd w:val="solid" w:color="000000" w:fill="ffffff"/>
        <w:tcBorders/>
      </w:tcPr>
    </w:tblStylePr>
    <w:tblStylePr w:type="neCell">
      <w:pPr>
        <w:pBdr/>
        <w:spacing/>
        <w:ind/>
      </w:pPr>
      <w:tblPr>
        <w:tblBorders/>
      </w:tblPr>
      <w:tcPr>
        <w:tcBorders/>
      </w:tcPr>
    </w:tblStylePr>
    <w:tblStylePr w:type="swCell">
      <w:rPr>
        <w:b/>
        <w:bCs/>
        <w:i w:val="0"/>
        <w:iCs w:val="0"/>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Table Colorful 2"/>
    <w:basedOn w:val="925"/>
    <w:pPr>
      <w:pBdr/>
      <w:spacing/>
      <w:ind/>
    </w:pPr>
    <w:rPr>
      <w:rFonts w:eastAsia="Calibri"/>
    </w:rPr>
    <w:tblPr>
      <w:tblBorders>
        <w:bottom w:val="single" w:color="000000" w:sz="12" w:space="0"/>
      </w:tblBorders>
    </w:tblPr>
    <w:tcPr>
      <w:shd w:val="pct20" w:color="ffff00" w:fill="ffffff"/>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iCs/>
      </w:rPr>
      <w:pPr>
        <w:pBdr/>
        <w:spacing/>
        <w:ind/>
      </w:pPr>
      <w:tblPr>
        <w:tblBorders/>
      </w:tblPr>
      <w:tcPr>
        <w:tcBorders/>
      </w:tcPr>
    </w:tblStylePr>
    <w:tblStylePr w:type="firstRow">
      <w:rPr>
        <w:b/>
        <w:bCs/>
        <w:i/>
        <w:iCs/>
        <w:color w:val="ffffff"/>
      </w:rPr>
      <w:pPr>
        <w:pBdr/>
        <w:spacing/>
        <w:ind/>
      </w:pPr>
      <w:tblPr>
        <w:tblBorders/>
      </w:tblPr>
      <w:tcPr>
        <w:shd w:val="solid" w:color="800000" w:fill="ffffff"/>
        <w:tcBorders>
          <w:bottom w:val="single" w:color="000000" w:sz="12" w:space="0"/>
        </w:tcBorders>
      </w:tcPr>
    </w:tblStylePr>
    <w:tblStylePr w:type="lastCol">
      <w:pPr>
        <w:pBdr/>
        <w:spacing/>
        <w:ind/>
      </w:pPr>
      <w:tblPr>
        <w:tblBorders/>
      </w:tblPr>
      <w:tcPr>
        <w:shd w:val="solid" w:color="c0c0c0" w:fill="ffffff"/>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rPr>
        <w:b/>
        <w:bCs/>
        <w:i w:val="0"/>
        <w:iCs w:val="0"/>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Table Colorful 3"/>
    <w:basedOn w:val="925"/>
    <w:pPr>
      <w:pBdr/>
      <w:spacing/>
      <w:ind/>
    </w:pPr>
    <w:rPr>
      <w:rFonts w:eastAsia="Calibri"/>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solid" w:color="008080" w:fill="ffffff"/>
        <w:tcBorders>
          <w:left w:val="single" w:color="000000" w:sz="36" w:space="0"/>
          <w:right w:val="single" w:color="000000" w:sz="6" w:space="0"/>
        </w:tcBorders>
      </w:tcPr>
    </w:tblStylePr>
    <w:tblStylePr w:type="firstRow">
      <w:pPr>
        <w:pBdr/>
        <w:spacing/>
        <w:ind/>
      </w:pPr>
      <w:tblPr>
        <w:tblBorders/>
      </w:tblPr>
      <w:tcPr>
        <w:shd w:val="solid" w:color="008080" w:fill="ffffff"/>
        <w:tcBorders>
          <w:bottom w:val="single" w:color="000000" w:sz="6" w:space="0"/>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rPr>
        <w:b/>
        <w:bCs/>
        <w:color w:val="ffffff"/>
      </w:rPr>
      <w:pPr>
        <w:pBdr/>
        <w:spacing/>
        <w:ind/>
      </w:pPr>
      <w:tblPr>
        <w:tblBorders/>
      </w:tblPr>
      <w:tcPr>
        <w:shd w:val="solid" w:color="000000" w:fill="ffffff"/>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Table Columns 1"/>
    <w:basedOn w:val="925"/>
    <w:pPr>
      <w:pBdr/>
      <w:spacing/>
      <w:ind/>
    </w:pPr>
    <w:rPr>
      <w:rFonts w:eastAsia="Calibri"/>
      <w:b/>
      <w:bCs/>
    </w:rPr>
    <w:tblPr>
      <w:tblStyleColBandSize w:val="1"/>
      <w:tblBorders>
        <w:top w:val="single" w:color="000000" w:sz="12" w:space="0"/>
        <w:left w:val="single" w:color="000000" w:sz="12" w:space="0"/>
        <w:bottom w:val="single" w:color="000000" w:sz="12" w:space="0"/>
        <w:right w:val="single" w:color="000000" w:sz="12" w:space="0"/>
      </w:tblBorders>
    </w:tblPr>
    <w:tcPr>
      <w:tcBorders/>
    </w:tcPr>
    <w:tblStylePr w:type="band1Horz">
      <w:pPr>
        <w:pBdr/>
        <w:spacing/>
        <w:ind/>
      </w:pPr>
      <w:tblPr>
        <w:tblBorders/>
      </w:tblPr>
      <w:tcPr>
        <w:tcBorders/>
      </w:tcPr>
    </w:tblStylePr>
    <w:tblStylePr w:type="band1Vert">
      <w:rPr>
        <w:color w:val="auto"/>
      </w:rPr>
      <w:pPr>
        <w:pBdr/>
        <w:spacing/>
        <w:ind/>
      </w:pPr>
      <w:tblPr>
        <w:tblBorders/>
      </w:tblPr>
      <w:tcPr>
        <w:shd w:val="pct25" w:color="000000" w:fill="ffffff"/>
        <w:tcBorders/>
      </w:tcPr>
    </w:tblStylePr>
    <w:tblStylePr w:type="band2Horz">
      <w:pPr>
        <w:pBdr/>
        <w:spacing/>
        <w:ind/>
      </w:pPr>
      <w:tblPr>
        <w:tblBorders/>
      </w:tblPr>
      <w:tcPr>
        <w:tcBorders/>
      </w:tcPr>
    </w:tblStylePr>
    <w:tblStylePr w:type="band2Vert">
      <w:rPr>
        <w:color w:val="auto"/>
      </w:rPr>
      <w:pPr>
        <w:pBdr/>
        <w:spacing/>
        <w:ind/>
      </w:pPr>
      <w:tblPr>
        <w:tblBorders/>
      </w:tblPr>
      <w:tcPr>
        <w:shd w:val="pct25" w:color="ffff00" w:fill="ffffff"/>
        <w:tcBorders/>
      </w:tcPr>
    </w:tblStylePr>
    <w:tblStylePr w:type="firstCol">
      <w:rPr>
        <w:b w:val="0"/>
        <w:bCs w:val="0"/>
      </w:rPr>
      <w:pPr>
        <w:pBdr/>
        <w:spacing/>
        <w:ind/>
      </w:pPr>
      <w:tblPr>
        <w:tblBorders/>
      </w:tblPr>
      <w:tcPr>
        <w:tcBorders/>
      </w:tcPr>
    </w:tblStylePr>
    <w:tblStylePr w:type="firstRow">
      <w:rPr>
        <w:b w:val="0"/>
        <w:bCs w:val="0"/>
      </w:rPr>
      <w:pPr>
        <w:pBdr/>
        <w:spacing/>
        <w:ind/>
      </w:pPr>
      <w:tblPr>
        <w:tblBorders/>
      </w:tblPr>
      <w:tcPr>
        <w:tcBorders>
          <w:bottom w:val="single" w:color="000000" w:sz="6" w:space="0"/>
        </w:tcBorders>
      </w:tcPr>
    </w:tblStylePr>
    <w:tblStylePr w:type="lastCol">
      <w:rPr>
        <w:b w:val="0"/>
        <w:bCs w:val="0"/>
      </w:rPr>
      <w:pPr>
        <w:pBdr/>
        <w:spacing/>
        <w:ind/>
      </w:pPr>
      <w:tblPr>
        <w:tblBorders/>
      </w:tblPr>
      <w:tcPr>
        <w:tcBorders/>
      </w:tcPr>
    </w:tblStylePr>
    <w:tblStylePr w:type="lastRow">
      <w:rPr>
        <w:b w:val="0"/>
        <w:bCs w:val="0"/>
      </w:rPr>
      <w:pPr>
        <w:pBdr/>
        <w:spacing/>
        <w:ind/>
      </w:pPr>
      <w:tblPr>
        <w:tblBorders/>
      </w:tblPr>
      <w:tcPr>
        <w:tcBorders/>
      </w:tcPr>
    </w:tblStylePr>
    <w:tblStylePr w:type="nwCell">
      <w:pPr>
        <w:pBdr/>
        <w:spacing/>
        <w:ind/>
      </w:pPr>
      <w:tblPr>
        <w:tblBorders/>
      </w:tblPr>
      <w:tcPr>
        <w:tcBorders/>
      </w:tcPr>
    </w:tblStylePr>
    <w:tblStylePr w:type="neCell">
      <w:rPr>
        <w:b/>
        <w:bCs/>
      </w:rPr>
      <w:pPr>
        <w:pBdr/>
        <w:spacing/>
        <w:ind/>
      </w:pPr>
      <w:tblPr>
        <w:tblBorders/>
      </w:tblPr>
      <w:tcPr>
        <w:tcBorders/>
      </w:tcPr>
    </w:tblStylePr>
    <w:tblStylePr w:type="swCell">
      <w:rPr>
        <w:b/>
        <w:bCs/>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Table Columns 2"/>
    <w:basedOn w:val="925"/>
    <w:pPr>
      <w:pBdr/>
      <w:spacing/>
      <w:ind/>
    </w:pPr>
    <w:rPr>
      <w:rFonts w:eastAsia="Calibri"/>
      <w:b/>
      <w:bCs/>
    </w:rPr>
    <w:tblPr>
      <w:tblStyleColBandSize w:val="1"/>
      <w:tblBorders/>
    </w:tblPr>
    <w:tcPr>
      <w:tcBorders/>
    </w:tcPr>
    <w:tblStylePr w:type="band1Horz">
      <w:pPr>
        <w:pBdr/>
        <w:spacing/>
        <w:ind/>
      </w:pPr>
      <w:tblPr>
        <w:tblBorders/>
      </w:tblPr>
      <w:tcPr>
        <w:tcBorders/>
      </w:tcPr>
    </w:tblStylePr>
    <w:tblStylePr w:type="band1Vert">
      <w:rPr>
        <w:color w:val="auto"/>
      </w:rPr>
      <w:pPr>
        <w:pBdr/>
        <w:spacing/>
        <w:ind/>
      </w:pPr>
      <w:tblPr>
        <w:tblBorders/>
      </w:tblPr>
      <w:tcPr>
        <w:shd w:val="pct30" w:color="000000" w:fill="ffffff"/>
        <w:tcBorders/>
      </w:tcPr>
    </w:tblStylePr>
    <w:tblStylePr w:type="band2Horz">
      <w:pPr>
        <w:pBdr/>
        <w:spacing/>
        <w:ind/>
      </w:pPr>
      <w:tblPr>
        <w:tblBorders/>
      </w:tblPr>
      <w:tcPr>
        <w:tcBorders/>
      </w:tcPr>
    </w:tblStylePr>
    <w:tblStylePr w:type="band2Vert">
      <w:rPr>
        <w:color w:val="auto"/>
      </w:rPr>
      <w:pPr>
        <w:pBdr/>
        <w:spacing/>
        <w:ind/>
      </w:pPr>
      <w:tblPr>
        <w:tblBorders/>
      </w:tblPr>
      <w:tcPr>
        <w:shd w:val="pct25" w:color="00ff00" w:fill="ffffff"/>
        <w:tcBorders/>
      </w:tcPr>
    </w:tblStylePr>
    <w:tblStylePr w:type="firstCol">
      <w:rPr>
        <w:b w:val="0"/>
        <w:bCs w:val="0"/>
        <w:color w:val="000000"/>
      </w:rPr>
      <w:pPr>
        <w:pBdr/>
        <w:spacing/>
        <w:ind/>
      </w:pPr>
      <w:tblPr>
        <w:tblBorders/>
      </w:tblPr>
      <w:tcPr>
        <w:tcBorders/>
      </w:tcPr>
    </w:tblStylePr>
    <w:tblStylePr w:type="firstRow">
      <w:rPr>
        <w:color w:val="ffffff"/>
      </w:rPr>
      <w:pPr>
        <w:pBdr/>
        <w:spacing/>
        <w:ind/>
      </w:pPr>
      <w:tblPr>
        <w:tblBorders/>
      </w:tblPr>
      <w:tcPr>
        <w:shd w:val="solid" w:color="000080" w:fill="ffffff"/>
        <w:tcBorders/>
      </w:tcPr>
    </w:tblStylePr>
    <w:tblStylePr w:type="lastCol">
      <w:rPr>
        <w:b w:val="0"/>
        <w:bCs w:val="0"/>
      </w:rPr>
      <w:pPr>
        <w:pBdr/>
        <w:spacing/>
        <w:ind/>
      </w:pPr>
      <w:tblPr>
        <w:tblBorders/>
      </w:tblPr>
      <w:tcPr>
        <w:tcBorders/>
      </w:tcPr>
    </w:tblStylePr>
    <w:tblStylePr w:type="lastRow">
      <w:rPr>
        <w:b w:val="0"/>
        <w:bCs w:val="0"/>
      </w:rPr>
      <w:pPr>
        <w:pBdr/>
        <w:spacing/>
        <w:ind/>
      </w:pPr>
      <w:tblPr>
        <w:tblBorders/>
      </w:tblPr>
      <w:tcPr>
        <w:tcBorders/>
      </w:tcPr>
    </w:tblStylePr>
    <w:tblStylePr w:type="nwCell">
      <w:pPr>
        <w:pBdr/>
        <w:spacing/>
        <w:ind/>
      </w:pPr>
      <w:tblPr>
        <w:tblBorders/>
      </w:tblPr>
      <w:tcPr>
        <w:tcBorders/>
      </w:tcPr>
    </w:tblStylePr>
    <w:tblStylePr w:type="neCell">
      <w:rPr>
        <w:b/>
        <w:bCs/>
      </w:rPr>
      <w:pPr>
        <w:pBdr/>
        <w:spacing/>
        <w:ind/>
      </w:pPr>
      <w:tblPr>
        <w:tblBorders/>
      </w:tblPr>
      <w:tcPr>
        <w:tcBorders/>
      </w:tcPr>
    </w:tblStylePr>
    <w:tblStylePr w:type="swCell">
      <w:rPr>
        <w:b/>
        <w:bCs/>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Table Columns 3"/>
    <w:basedOn w:val="925"/>
    <w:pPr>
      <w:pBdr/>
      <w:spacing/>
      <w:ind/>
    </w:pPr>
    <w:rPr>
      <w:rFonts w:eastAsia="Calibri"/>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cPr>
      <w:tcBorders/>
    </w:tcPr>
    <w:tblStylePr w:type="band1Horz">
      <w:pPr>
        <w:pBdr/>
        <w:spacing/>
        <w:ind/>
      </w:pPr>
      <w:tblPr>
        <w:tblBorders/>
      </w:tblPr>
      <w:tcPr>
        <w:tcBorders/>
      </w:tcPr>
    </w:tblStylePr>
    <w:tblStylePr w:type="band1Vert">
      <w:rPr>
        <w:color w:val="auto"/>
      </w:rPr>
      <w:pPr>
        <w:pBdr/>
        <w:spacing/>
        <w:ind/>
      </w:pPr>
      <w:tblPr>
        <w:tblBorders/>
      </w:tblPr>
      <w:tcPr>
        <w:shd w:val="solid" w:color="c0c0c0" w:fill="ffffff"/>
        <w:tcBorders/>
      </w:tcPr>
    </w:tblStylePr>
    <w:tblStylePr w:type="band2Horz">
      <w:pPr>
        <w:pBdr/>
        <w:spacing/>
        <w:ind/>
      </w:pPr>
      <w:tblPr>
        <w:tblBorders/>
      </w:tblPr>
      <w:tcPr>
        <w:tcBorders/>
      </w:tcPr>
    </w:tblStylePr>
    <w:tblStylePr w:type="band2Vert">
      <w:rPr>
        <w:color w:val="auto"/>
      </w:rPr>
      <w:pPr>
        <w:pBdr/>
        <w:spacing/>
        <w:ind/>
      </w:pPr>
      <w:tblPr>
        <w:tblBorders/>
      </w:tblPr>
      <w:tcPr>
        <w:shd w:val="pct10" w:color="000000" w:fill="ffffff"/>
        <w:tcBorders/>
      </w:tcPr>
    </w:tblStylePr>
    <w:tblStylePr w:type="firstCol">
      <w:rPr>
        <w:b w:val="0"/>
        <w:bCs w:val="0"/>
      </w:rPr>
      <w:pPr>
        <w:pBdr/>
        <w:spacing/>
        <w:ind/>
      </w:pPr>
      <w:tblPr>
        <w:tblBorders/>
      </w:tblPr>
      <w:tcPr>
        <w:tcBorders/>
      </w:tcPr>
    </w:tblStylePr>
    <w:tblStylePr w:type="firstRow">
      <w:rPr>
        <w:color w:val="ffffff"/>
      </w:rPr>
      <w:pPr>
        <w:pBdr/>
        <w:spacing/>
        <w:ind/>
      </w:pPr>
      <w:tblPr>
        <w:tblBorders/>
      </w:tblPr>
      <w:tcPr>
        <w:shd w:val="solid" w:color="000080" w:fill="ffffff"/>
        <w:tcBorders/>
      </w:tcPr>
    </w:tblStylePr>
    <w:tblStylePr w:type="lastCol">
      <w:rPr>
        <w:b w:val="0"/>
        <w:bCs w:val="0"/>
      </w:rPr>
      <w:pPr>
        <w:pBdr/>
        <w:spacing/>
        <w:ind/>
      </w:pPr>
      <w:tblPr>
        <w:tblBorders/>
      </w:tblPr>
      <w:tcPr>
        <w:tcBorders/>
      </w:tcPr>
    </w:tblStylePr>
    <w:tblStylePr w:type="lastRow">
      <w:rPr>
        <w:b w:val="0"/>
        <w:bCs w:val="0"/>
      </w:rPr>
      <w:pPr>
        <w:pBdr/>
        <w:spacing/>
        <w:ind/>
      </w:pPr>
      <w:tblPr>
        <w:tblBorders/>
      </w:tblPr>
      <w:tcPr>
        <w:tcBorders>
          <w:top w:val="single" w:color="000080" w:sz="6" w:space="0"/>
        </w:tcBorders>
      </w:tcPr>
    </w:tblStylePr>
    <w:tblStylePr w:type="nwCell">
      <w:pPr>
        <w:pBdr/>
        <w:spacing/>
        <w:ind/>
      </w:pPr>
      <w:tblPr>
        <w:tblBorders/>
      </w:tblPr>
      <w:tcPr>
        <w:tcBorders/>
      </w:tcPr>
    </w:tblStylePr>
    <w:tblStylePr w:type="neCell">
      <w:rPr>
        <w:b/>
        <w:bCs/>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Table Columns 4"/>
    <w:basedOn w:val="925"/>
    <w:pPr>
      <w:pBdr/>
      <w:spacing/>
      <w:ind/>
    </w:pPr>
    <w:rPr>
      <w:rFonts w:eastAsia="Calibri"/>
    </w:rPr>
    <w:tblPr>
      <w:tblStyleColBandSize w:val="1"/>
      <w:tblBorders/>
    </w:tblPr>
    <w:tcPr>
      <w:tcBorders/>
    </w:tcPr>
    <w:tblStylePr w:type="band1Horz">
      <w:pPr>
        <w:pBdr/>
        <w:spacing/>
        <w:ind/>
      </w:pPr>
      <w:tblPr>
        <w:tblBorders/>
      </w:tblPr>
      <w:tcPr>
        <w:tcBorders/>
      </w:tcPr>
    </w:tblStylePr>
    <w:tblStylePr w:type="band1Vert">
      <w:rPr>
        <w:color w:val="auto"/>
      </w:rPr>
      <w:pPr>
        <w:pBdr/>
        <w:spacing/>
        <w:ind/>
      </w:pPr>
      <w:tblPr>
        <w:tblBorders/>
      </w:tblPr>
      <w:tcPr>
        <w:shd w:val="pct50" w:color="008080" w:fill="ffffff"/>
        <w:tcBorders/>
      </w:tcPr>
    </w:tblStylePr>
    <w:tblStylePr w:type="band2Horz">
      <w:pPr>
        <w:pBdr/>
        <w:spacing/>
        <w:ind/>
      </w:pPr>
      <w:tblPr>
        <w:tblBorders/>
      </w:tblPr>
      <w:tcPr>
        <w:tcBorders/>
      </w:tcPr>
    </w:tblStylePr>
    <w:tblStylePr w:type="band2Vert">
      <w:rPr>
        <w:color w:val="auto"/>
      </w:rPr>
      <w:pPr>
        <w:pBdr/>
        <w:spacing/>
        <w:ind/>
      </w:pPr>
      <w:tblPr>
        <w:tblBorders/>
      </w:tblPr>
      <w:tcPr>
        <w:shd w:val="pct10" w:color="000000" w:fill="ffffff"/>
        <w:tcBorders/>
      </w:tcPr>
    </w:tblStylePr>
    <w:tblStylePr w:type="firstCol">
      <w:pPr>
        <w:pBdr/>
        <w:spacing/>
        <w:ind/>
      </w:pPr>
      <w:tblPr>
        <w:tblBorders/>
      </w:tblPr>
      <w:tcPr>
        <w:tcBorders/>
      </w:tcPr>
    </w:tblStylePr>
    <w:tblStylePr w:type="firstRow">
      <w:rPr>
        <w:color w:val="ffffff"/>
      </w:rPr>
      <w:pPr>
        <w:pBdr/>
        <w:spacing/>
        <w:ind/>
      </w:pPr>
      <w:tblPr>
        <w:tblBorders/>
      </w:tblPr>
      <w:tcPr>
        <w:shd w:val="solid" w:color="000000" w:fill="ffffff"/>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Table Columns 5"/>
    <w:basedOn w:val="925"/>
    <w:pPr>
      <w:pBdr/>
      <w:spacing/>
      <w:ind/>
    </w:pPr>
    <w:rPr>
      <w:rFonts w:eastAsia="Calibri"/>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cPr>
      <w:tcBorders/>
    </w:tcPr>
    <w:tblStylePr w:type="band1Horz">
      <w:pPr>
        <w:pBdr/>
        <w:spacing/>
        <w:ind/>
      </w:pPr>
      <w:tblPr>
        <w:tblBorders/>
      </w:tblPr>
      <w:tcPr>
        <w:tcBorders/>
      </w:tcPr>
    </w:tblStylePr>
    <w:tblStylePr w:type="band1Vert">
      <w:rPr>
        <w:color w:val="auto"/>
      </w:rPr>
      <w:pPr>
        <w:pBdr/>
        <w:spacing/>
        <w:ind/>
      </w:pPr>
      <w:tblPr>
        <w:tblBorders/>
      </w:tblPr>
      <w:tcPr>
        <w:shd w:val="solid" w:color="c0c0c0" w:fill="ffffff"/>
        <w:tcBorders/>
      </w:tcPr>
    </w:tblStylePr>
    <w:tblStylePr w:type="band2Horz">
      <w:pPr>
        <w:pBdr/>
        <w:spacing/>
        <w:ind/>
      </w:pPr>
      <w:tblPr>
        <w:tblBorders/>
      </w:tblPr>
      <w:tcPr>
        <w:tcBorders/>
      </w:tcPr>
    </w:tblStylePr>
    <w:tblStylePr w:type="band2Vert">
      <w:rPr>
        <w:color w:val="auto"/>
      </w:rPr>
      <w:pPr>
        <w:pBdr/>
        <w:spacing/>
        <w:ind/>
      </w:pPr>
      <w:tblPr>
        <w:tblBorders/>
      </w:tblPr>
      <w:tcPr>
        <w:tcBorders/>
      </w:tcPr>
    </w:tblStylePr>
    <w:tblStylePr w:type="firstCol">
      <w:rPr>
        <w:b/>
        <w:bCs/>
      </w:rPr>
      <w:pPr>
        <w:pBdr/>
        <w:spacing/>
        <w:ind/>
      </w:pPr>
      <w:tblPr>
        <w:tblBorders/>
      </w:tblPr>
      <w:tcPr>
        <w:tcBorders/>
      </w:tcPr>
    </w:tblStylePr>
    <w:tblStylePr w:type="firstRow">
      <w:rPr>
        <w:b/>
        <w:bCs/>
        <w:i/>
        <w:iCs/>
      </w:rPr>
      <w:pPr>
        <w:pBdr/>
        <w:spacing/>
        <w:ind/>
      </w:pPr>
      <w:tblPr>
        <w:tblBorders/>
      </w:tblPr>
      <w:tcPr>
        <w:tcBorders>
          <w:bottom w:val="single" w:color="808080" w:sz="6" w:space="0"/>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808080"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Table Contemporary"/>
    <w:basedOn w:val="925"/>
    <w:pPr>
      <w:pBdr/>
      <w:spacing/>
      <w:ind/>
    </w:pPr>
    <w:rPr>
      <w:rFonts w:eastAsia="Calibri"/>
    </w:rPr>
    <w:tblPr>
      <w:tblStyleRowBandSize w:val="1"/>
      <w:tblBorders>
        <w:insideH w:val="single" w:color="ffffff" w:sz="18" w:space="0"/>
        <w:insideV w:val="single" w:color="ffffff" w:sz="18" w:space="0"/>
      </w:tblBorders>
    </w:tblPr>
    <w:tcPr>
      <w:tcBorders/>
    </w:tcPr>
    <w:tblStylePr w:type="band1Horz">
      <w:rPr>
        <w:color w:val="auto"/>
      </w:rPr>
      <w:pPr>
        <w:pBdr/>
        <w:spacing/>
        <w:ind/>
      </w:pPr>
      <w:tblPr>
        <w:tblBorders/>
      </w:tblPr>
      <w:tcPr>
        <w:shd w:val="pct5" w:color="000000" w:fill="ffffff"/>
        <w:tcBorders/>
      </w:tcPr>
    </w:tblStylePr>
    <w:tblStylePr w:type="band1Vert">
      <w:pPr>
        <w:pBdr/>
        <w:spacing/>
        <w:ind/>
      </w:pPr>
      <w:tblPr>
        <w:tblBorders/>
      </w:tblPr>
      <w:tcPr>
        <w:tcBorders/>
      </w:tcPr>
    </w:tblStylePr>
    <w:tblStylePr w:type="band2Horz">
      <w:rPr>
        <w:color w:val="auto"/>
      </w:rPr>
      <w:pPr>
        <w:pBdr/>
        <w:spacing/>
        <w:ind/>
      </w:pPr>
      <w:tblPr>
        <w:tblBorders/>
      </w:tblPr>
      <w:tcPr>
        <w:shd w:val="pct20" w:color="000000" w:fill="ffffff"/>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b/>
        <w:bCs/>
        <w:color w:val="auto"/>
      </w:rPr>
      <w:pPr>
        <w:pBdr/>
        <w:spacing/>
        <w:ind/>
      </w:pPr>
      <w:tblPr>
        <w:tblBorders/>
      </w:tblPr>
      <w:tcPr>
        <w:shd w:val="pct20" w:color="000000" w:fill="ffffff"/>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Table Elegant"/>
    <w:basedOn w:val="925"/>
    <w:pPr>
      <w:pBdr/>
      <w:spacing/>
      <w:ind/>
    </w:pPr>
    <w:rPr>
      <w:rFonts w:eastAsia="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caps/>
        <w:color w:val="auto"/>
      </w:rPr>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Table Grid 1"/>
    <w:basedOn w:val="925"/>
    <w:pPr>
      <w:pBdr/>
      <w:spacing/>
      <w:ind/>
    </w:pPr>
    <w:rPr>
      <w:rFonts w:eastAsia="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rPr>
        <w:i/>
        <w:iCs/>
      </w:rPr>
      <w:pPr>
        <w:pBdr/>
        <w:spacing/>
        <w:ind/>
      </w:pPr>
      <w:tblPr>
        <w:tblBorders/>
      </w:tblPr>
      <w:tcPr>
        <w:tcBorders/>
      </w:tcPr>
    </w:tblStylePr>
    <w:tblStylePr w:type="lastRow">
      <w:rPr>
        <w:i/>
        <w:iCs/>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Table Grid 2"/>
    <w:basedOn w:val="925"/>
    <w:pPr>
      <w:pBdr/>
      <w:spacing/>
      <w:ind/>
    </w:pPr>
    <w:rPr>
      <w:rFonts w:eastAsia="Calibri"/>
    </w:rPr>
    <w:tblPr>
      <w:tblBorders>
        <w:insideH w:val="single" w:color="000000" w:sz="6" w:space="0"/>
        <w:insideV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000000"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Table Grid 3"/>
    <w:basedOn w:val="925"/>
    <w:pPr>
      <w:pBdr/>
      <w:spacing/>
      <w:ind/>
    </w:pPr>
    <w:rPr>
      <w:rFonts w:eastAsia="Calibri"/>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shd w:val="pct30" w:color="ffff00" w:fill="ffffff"/>
        <w:tcBorders>
          <w:bottom w:val="single" w:color="000000" w:sz="6" w:space="0"/>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Table Grid 4"/>
    <w:basedOn w:val="925"/>
    <w:pPr>
      <w:pBdr/>
      <w:spacing/>
      <w:ind/>
    </w:pPr>
    <w:rPr>
      <w:rFonts w:eastAsia="Calibri"/>
    </w:rPr>
    <w:tblPr>
      <w:tblBorders>
        <w:left w:val="single" w:color="000000" w:sz="12" w:space="0"/>
        <w:right w:val="single" w:color="000000" w:sz="12" w:space="0"/>
        <w:insideH w:val="single" w:color="000000" w:sz="6" w:space="0"/>
        <w:insideV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color w:val="auto"/>
      </w:rPr>
      <w:pPr>
        <w:pBdr/>
        <w:spacing/>
        <w:ind/>
      </w:pPr>
      <w:tblPr>
        <w:tblBorders/>
      </w:tblPr>
      <w:tcPr>
        <w:shd w:val="pct30" w:color="ffff00" w:fill="ffffff"/>
        <w:tcBorders>
          <w:bottom w:val="single" w:color="000000" w:sz="6" w:space="0"/>
        </w:tcBorders>
      </w:tcPr>
    </w:tblStylePr>
    <w:tblStylePr w:type="lastCol">
      <w:rPr>
        <w:b/>
        <w:bCs/>
        <w:color w:val="auto"/>
      </w:rPr>
      <w:pPr>
        <w:pBdr/>
        <w:spacing/>
        <w:ind/>
      </w:pPr>
      <w:tblPr>
        <w:tblBorders/>
      </w:tblPr>
      <w:tcPr>
        <w:tcBorders/>
      </w:tcPr>
    </w:tblStylePr>
    <w:tblStylePr w:type="lastRow">
      <w:rPr>
        <w:b/>
        <w:bCs/>
        <w:color w:val="auto"/>
      </w:rPr>
      <w:pPr>
        <w:pBdr/>
        <w:spacing/>
        <w:ind/>
      </w:pPr>
      <w:tblPr>
        <w:tblBorders/>
      </w:tblPr>
      <w:tcPr>
        <w:shd w:val="pct30" w:color="ffff00" w:fill="ffffff"/>
        <w:tcBorders>
          <w:top w:val="single" w:color="000000"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Table Grid 5"/>
    <w:basedOn w:val="925"/>
    <w:pPr>
      <w:pBdr/>
      <w:spacing/>
      <w:ind/>
    </w:pPr>
    <w:rPr>
      <w:rFonts w:eastAsia="Calibri"/>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bottom w:val="single" w:color="000000" w:sz="12" w:space="0"/>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Table Grid 6"/>
    <w:basedOn w:val="925"/>
    <w:pPr>
      <w:pBdr/>
      <w:spacing/>
      <w:ind/>
    </w:pPr>
    <w:rPr>
      <w:rFonts w:eastAsia="Calibri"/>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bottom w:val="single" w:color="000000" w:sz="6" w:space="0"/>
        </w:tcBorders>
      </w:tcPr>
    </w:tblStylePr>
    <w:tblStylePr w:type="lastCol">
      <w:pPr>
        <w:pBdr/>
        <w:spacing/>
        <w:ind/>
      </w:pPr>
      <w:tblPr>
        <w:tblBorders/>
      </w:tblPr>
      <w:tcPr>
        <w:tcBorders/>
      </w:tcPr>
    </w:tblStylePr>
    <w:tblStylePr w:type="lastRow">
      <w:rPr>
        <w:color w:val="auto"/>
      </w:rPr>
      <w:pPr>
        <w:pBdr/>
        <w:spacing/>
        <w:ind/>
      </w:pPr>
      <w:tblPr>
        <w:tblBorders/>
      </w:tblPr>
      <w:tcPr>
        <w:tcBorders>
          <w:top w:val="single" w:color="000000"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Table Grid 7"/>
    <w:basedOn w:val="925"/>
    <w:pPr>
      <w:pBdr/>
      <w:spacing/>
      <w:ind/>
    </w:pPr>
    <w:rPr>
      <w:rFonts w:eastAsia="Calibri"/>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val="0"/>
        <w:bCs w:val="0"/>
      </w:rPr>
      <w:pPr>
        <w:pBdr/>
        <w:spacing/>
        <w:ind/>
      </w:pPr>
      <w:tblPr>
        <w:tblBorders/>
      </w:tblPr>
      <w:tcPr>
        <w:tcBorders/>
      </w:tcPr>
    </w:tblStylePr>
    <w:tblStylePr w:type="firstRow">
      <w:rPr>
        <w:b w:val="0"/>
        <w:bCs w:val="0"/>
      </w:rPr>
      <w:pPr>
        <w:pBdr/>
        <w:spacing/>
        <w:ind/>
      </w:pPr>
      <w:tblPr>
        <w:tblBorders/>
      </w:tblPr>
      <w:tcPr>
        <w:tcBorders>
          <w:bottom w:val="single" w:color="000000" w:sz="12" w:space="0"/>
        </w:tcBorders>
      </w:tcPr>
    </w:tblStylePr>
    <w:tblStylePr w:type="lastCol">
      <w:rPr>
        <w:b w:val="0"/>
        <w:bCs w:val="0"/>
      </w:rPr>
      <w:pPr>
        <w:pBdr/>
        <w:spacing/>
        <w:ind/>
      </w:pPr>
      <w:tblPr>
        <w:tblBorders/>
      </w:tblPr>
      <w:tcPr>
        <w:tcBorders/>
      </w:tcPr>
    </w:tblStylePr>
    <w:tblStylePr w:type="lastRow">
      <w:rPr>
        <w:b w:val="0"/>
        <w:bCs w:val="0"/>
      </w:rPr>
      <w:pPr>
        <w:pBdr/>
        <w:spacing/>
        <w:ind/>
      </w:pPr>
      <w:tblPr>
        <w:tblBorders/>
      </w:tblPr>
      <w:tcPr>
        <w:tcBorders>
          <w:top w:val="single" w:color="000000"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Table Grid 8"/>
    <w:basedOn w:val="925"/>
    <w:pPr>
      <w:pBdr/>
      <w:spacing/>
      <w:ind/>
    </w:pPr>
    <w:rPr>
      <w:rFonts w:eastAsia="Calibr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b/>
        <w:bCs/>
        <w:color w:val="ffffff"/>
      </w:rPr>
      <w:pPr>
        <w:pBdr/>
        <w:spacing/>
        <w:ind/>
      </w:pPr>
      <w:tblPr>
        <w:tblBorders/>
      </w:tblPr>
      <w:tcPr>
        <w:shd w:val="solid" w:color="000080" w:fill="ffffff"/>
        <w:tcBorders/>
      </w:tcPr>
    </w:tblStylePr>
    <w:tblStylePr w:type="lastCol">
      <w:rPr>
        <w:b/>
        <w:bCs/>
        <w:color w:val="auto"/>
      </w:rPr>
      <w:pPr>
        <w:pBdr/>
        <w:spacing/>
        <w:ind/>
      </w:pPr>
      <w:tblPr>
        <w:tblBorders/>
      </w:tblPr>
      <w:tcPr>
        <w:tcBorders/>
      </w:tcPr>
    </w:tblStylePr>
    <w:tblStylePr w:type="lastRow">
      <w:rPr>
        <w:b/>
        <w:bCs/>
        <w:color w:val="auto"/>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Table List 1"/>
    <w:basedOn w:val="925"/>
    <w:pPr>
      <w:pBdr/>
      <w:spacing/>
      <w:ind/>
    </w:pPr>
    <w:rPr>
      <w:rFonts w:eastAsia="Calibri"/>
    </w:rPr>
    <w:tblPr>
      <w:tblStyleRowBandSize w:val="1"/>
      <w:tblBorders>
        <w:top w:val="single" w:color="008080" w:sz="12" w:space="0"/>
        <w:left w:val="single" w:color="008080" w:sz="6" w:space="0"/>
        <w:bottom w:val="single" w:color="008080" w:sz="12" w:space="0"/>
        <w:right w:val="single" w:color="008080" w:sz="6" w:space="0"/>
      </w:tblBorders>
    </w:tblPr>
    <w:tcPr>
      <w:tcBorders/>
    </w:tcPr>
    <w:tblStylePr w:type="band1Horz">
      <w:rPr>
        <w:color w:val="auto"/>
      </w:rPr>
      <w:pPr>
        <w:pBdr/>
        <w:spacing/>
        <w:ind/>
      </w:pPr>
      <w:tblPr>
        <w:tblBorders/>
      </w:tblPr>
      <w:tcPr>
        <w:shd w:val="solid" w:color="c0c0c0" w:fill="ffffff"/>
        <w:tcBorders/>
      </w:tcPr>
    </w:tblStylePr>
    <w:tblStylePr w:type="band1Vert">
      <w:pPr>
        <w:pBdr/>
        <w:spacing/>
        <w:ind/>
      </w:pPr>
      <w:tblPr>
        <w:tblBorders/>
      </w:tblPr>
      <w:tcPr>
        <w:tcBorders/>
      </w:tcPr>
    </w:tblStylePr>
    <w:tblStylePr w:type="band2Horz">
      <w:rPr>
        <w:color w:val="auto"/>
      </w:rPr>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b/>
        <w:bCs/>
        <w:i/>
        <w:iCs/>
        <w:color w:val="800000"/>
      </w:rPr>
      <w:pPr>
        <w:pBdr/>
        <w:spacing/>
        <w:ind/>
      </w:pPr>
      <w:tblPr>
        <w:tblBorders/>
      </w:tblPr>
      <w:tcPr>
        <w:shd w:val="solid" w:color="c0c0c0" w:fill="ffffff"/>
        <w:tcBorders>
          <w:bottom w:val="single" w:color="000000" w:sz="6" w:space="0"/>
        </w:tcBorders>
      </w:tcPr>
    </w:tblStylePr>
    <w:tblStylePr w:type="lastCol">
      <w:pPr>
        <w:pBdr/>
        <w:spacing/>
        <w:ind/>
      </w:pPr>
      <w:tblPr>
        <w:tblBorders/>
      </w:tblPr>
      <w:tcPr>
        <w:tcBorders/>
      </w:tcPr>
    </w:tblStylePr>
    <w:tblStylePr w:type="lastRow">
      <w:pPr>
        <w:pBdr/>
        <w:spacing/>
        <w:ind/>
      </w:pPr>
      <w:tblPr>
        <w:tblBorders/>
      </w:tblPr>
      <w:tcPr>
        <w:tcBorders>
          <w:top w:val="single" w:color="000000"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rPr>
        <w:b/>
        <w:bCs/>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Table List 2"/>
    <w:basedOn w:val="925"/>
    <w:pPr>
      <w:pBdr/>
      <w:spacing/>
      <w:ind/>
    </w:pPr>
    <w:rPr>
      <w:rFonts w:eastAsia="Calibri"/>
    </w:rPr>
    <w:tblPr>
      <w:tblStyleRowBandSize w:val="2"/>
      <w:tblBorders>
        <w:bottom w:val="single" w:color="808080" w:sz="12" w:space="0"/>
      </w:tblBorders>
    </w:tblPr>
    <w:tcPr>
      <w:tcBorders/>
    </w:tcPr>
    <w:tblStylePr w:type="band1Horz">
      <w:rPr>
        <w:color w:val="auto"/>
      </w:rPr>
      <w:pPr>
        <w:pBdr/>
        <w:spacing/>
        <w:ind/>
      </w:pPr>
      <w:tblPr>
        <w:tblBorders/>
      </w:tblPr>
      <w:tcPr>
        <w:shd w:val="pct20" w:color="00ff00" w:fill="ffffff"/>
        <w:tcBorders/>
      </w:tcPr>
    </w:tblStylePr>
    <w:tblStylePr w:type="band1Vert">
      <w:pPr>
        <w:pBdr/>
        <w:spacing/>
        <w:ind/>
      </w:pPr>
      <w:tblPr>
        <w:tblBorders/>
      </w:tblPr>
      <w:tcPr>
        <w:tcBorders/>
      </w:tcPr>
    </w:tblStylePr>
    <w:tblStylePr w:type="band2Horz">
      <w:rPr>
        <w:color w:val="auto"/>
      </w:rPr>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b/>
        <w:bCs/>
        <w:color w:val="ffffff"/>
      </w:rPr>
      <w:pPr>
        <w:pBdr/>
        <w:spacing/>
        <w:ind/>
      </w:pPr>
      <w:tblPr>
        <w:tblBorders/>
      </w:tblPr>
      <w:tcPr>
        <w:shd w:val="pct75" w:color="008080" w:fill="008000"/>
        <w:tcBorders>
          <w:bottom w:val="single" w:color="000000" w:sz="6" w:space="0"/>
        </w:tcBorders>
      </w:tcPr>
    </w:tblStylePr>
    <w:tblStylePr w:type="lastCol">
      <w:pPr>
        <w:pBdr/>
        <w:spacing/>
        <w:ind/>
      </w:pPr>
      <w:tblPr>
        <w:tblBorders/>
      </w:tblPr>
      <w:tcPr>
        <w:tcBorders/>
      </w:tcPr>
    </w:tblStylePr>
    <w:tblStylePr w:type="lastRow">
      <w:pPr>
        <w:pBdr/>
        <w:spacing/>
        <w:ind/>
      </w:pPr>
      <w:tblPr>
        <w:tblBorders/>
      </w:tblPr>
      <w:tcPr>
        <w:tcBorders>
          <w:top w:val="single" w:color="000000"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rPr>
        <w:b/>
        <w:bCs/>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Table List 3"/>
    <w:basedOn w:val="925"/>
    <w:pPr>
      <w:pBdr/>
      <w:spacing/>
      <w:ind/>
    </w:pPr>
    <w:rPr>
      <w:rFonts w:eastAsia="Calibri"/>
    </w:rPr>
    <w:tblPr>
      <w:tblBorders>
        <w:top w:val="single" w:color="000000" w:sz="12" w:space="0"/>
        <w:bottom w:val="single" w:color="000000" w:sz="12" w:space="0"/>
        <w:insideH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b/>
        <w:bCs/>
        <w:color w:val="000080"/>
      </w:rPr>
      <w:pPr>
        <w:pBdr/>
        <w:spacing/>
        <w:ind/>
      </w:pPr>
      <w:tblPr>
        <w:tblBorders/>
      </w:tblPr>
      <w:tcPr>
        <w:tcBorders>
          <w:bottom w:val="single" w:color="000000" w:sz="12" w:space="0"/>
        </w:tcBorders>
      </w:tcPr>
    </w:tblStylePr>
    <w:tblStylePr w:type="lastCol">
      <w:pPr>
        <w:pBdr/>
        <w:spacing/>
        <w:ind/>
      </w:pPr>
      <w:tblPr>
        <w:tblBorders/>
      </w:tblPr>
      <w:tcPr>
        <w:tcBorders/>
      </w:tcPr>
    </w:tblStylePr>
    <w:tblStylePr w:type="lastRow">
      <w:pPr>
        <w:pBdr/>
        <w:spacing/>
        <w:ind/>
      </w:pPr>
      <w:tblPr>
        <w:tblBorders/>
      </w:tblPr>
      <w:tcPr>
        <w:tcBorders>
          <w:top w:val="single" w:color="0000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rPr>
        <w:i/>
        <w:iCs/>
        <w:color w:val="000080"/>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Table List 4"/>
    <w:basedOn w:val="925"/>
    <w:pPr>
      <w:pBdr/>
      <w:spacing/>
      <w:ind/>
    </w:pPr>
    <w:rPr>
      <w:rFonts w:eastAsia="Calibri"/>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b/>
        <w:bCs/>
        <w:color w:val="ffffff"/>
      </w:rPr>
      <w:pPr>
        <w:pBdr/>
        <w:spacing/>
        <w:ind/>
      </w:pPr>
      <w:tblPr>
        <w:tblBorders/>
      </w:tblPr>
      <w:tcPr>
        <w:shd w:val="solid" w:color="808080" w:fill="ffffff"/>
        <w:tcBorders>
          <w:bottom w:val="single" w:color="000000" w:sz="12" w:space="0"/>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Table List 5"/>
    <w:basedOn w:val="925"/>
    <w:pPr>
      <w:pBdr/>
      <w:spacing/>
      <w:ind/>
    </w:pPr>
    <w:rPr>
      <w:rFonts w:eastAsia="Calibri"/>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bottom w:val="single" w:color="000000" w:sz="12" w:space="0"/>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Table List 6"/>
    <w:basedOn w:val="925"/>
    <w:pPr>
      <w:pBdr/>
      <w:spacing/>
      <w:ind/>
    </w:pPr>
    <w:rPr>
      <w:rFonts w:eastAsia="Calibri"/>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Borders/>
    </w:tcPr>
    <w:tblStylePr w:type="band1Horz">
      <w:pPr>
        <w:pBdr/>
        <w:spacing/>
        <w:ind/>
      </w:pPr>
      <w:tblPr>
        <w:tblBorders/>
      </w:tblPr>
      <w:tcPr>
        <w:shd w:val="pct25" w:color="000000" w:fill="ffffff"/>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right w:val="single" w:color="000000" w:sz="12" w:space="0"/>
        </w:tcBorders>
      </w:tcPr>
    </w:tblStylePr>
    <w:tblStylePr w:type="firstRow">
      <w:rPr>
        <w:b/>
        <w:bCs/>
      </w:rPr>
      <w:pPr>
        <w:pBdr/>
        <w:spacing/>
        <w:ind/>
      </w:pPr>
      <w:tblPr>
        <w:tblBorders/>
      </w:tblPr>
      <w:tcPr>
        <w:tcBorders>
          <w:bottom w:val="single" w:color="000000" w:sz="12" w:space="0"/>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Table List 7"/>
    <w:basedOn w:val="925"/>
    <w:pPr>
      <w:pBdr/>
      <w:spacing/>
      <w:ind/>
    </w:pPr>
    <w:rPr>
      <w:rFonts w:eastAsia="Calibri"/>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cPr>
      <w:tcBorders/>
    </w:tcPr>
    <w:tblStylePr w:type="band1Horz">
      <w:rPr>
        <w:color w:val="auto"/>
      </w:rPr>
      <w:pPr>
        <w:pBdr/>
        <w:spacing/>
        <w:ind/>
      </w:pPr>
      <w:tblPr>
        <w:tblBorders/>
      </w:tblPr>
      <w:tcPr>
        <w:shd w:val="pct20" w:color="000000" w:fill="ffffff"/>
        <w:tcBorders/>
      </w:tcPr>
    </w:tblStylePr>
    <w:tblStylePr w:type="band1Vert">
      <w:pPr>
        <w:pBdr/>
        <w:spacing/>
        <w:ind/>
      </w:pPr>
      <w:tblPr>
        <w:tblBorders/>
      </w:tblPr>
      <w:tcPr>
        <w:tcBorders/>
      </w:tcPr>
    </w:tblStylePr>
    <w:tblStylePr w:type="band2Horz">
      <w:pPr>
        <w:pBdr/>
        <w:spacing/>
        <w:ind/>
      </w:pPr>
      <w:tblPr>
        <w:tblBorders/>
      </w:tblPr>
      <w:tcPr>
        <w:shd w:val="pct25" w:color="ffff00" w:fill="ffffff"/>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shd w:val="solid" w:color="c0c0c0" w:fill="ffffff"/>
        <w:tcBorders>
          <w:bottom w:val="single" w:color="008000" w:sz="12" w:space="0"/>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0080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Table List 8"/>
    <w:basedOn w:val="925"/>
    <w:pPr>
      <w:pBdr/>
      <w:spacing/>
      <w:ind/>
    </w:pPr>
    <w:rPr>
      <w:rFonts w:eastAsia="Calibri"/>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cPr>
      <w:tcBorders/>
    </w:tcPr>
    <w:tblStylePr w:type="band1Horz">
      <w:rPr>
        <w:color w:val="auto"/>
      </w:rPr>
      <w:pPr>
        <w:pBdr/>
        <w:spacing/>
        <w:ind/>
      </w:pPr>
      <w:tblPr>
        <w:tblBorders/>
      </w:tblPr>
      <w:tcPr>
        <w:shd w:val="pct25" w:color="ffff00" w:fill="ffffff"/>
        <w:tcBorders/>
      </w:tcPr>
    </w:tblStylePr>
    <w:tblStylePr w:type="band1Vert">
      <w:pPr>
        <w:pBdr/>
        <w:spacing/>
        <w:ind/>
      </w:pPr>
      <w:tblPr>
        <w:tblBorders/>
      </w:tblPr>
      <w:tcPr>
        <w:tcBorders/>
      </w:tcPr>
    </w:tblStylePr>
    <w:tblStylePr w:type="band2Horz">
      <w:pPr>
        <w:pBdr/>
        <w:spacing/>
        <w:ind/>
      </w:pPr>
      <w:tblPr>
        <w:tblBorders/>
      </w:tblPr>
      <w:tcPr>
        <w:shd w:val="pct50" w:color="ff0000" w:fill="ffffff"/>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i/>
        <w:iCs/>
      </w:rPr>
      <w:pPr>
        <w:pBdr/>
        <w:spacing/>
        <w:ind/>
      </w:pPr>
      <w:tblPr>
        <w:tblBorders/>
      </w:tblPr>
      <w:tcPr>
        <w:shd w:val="solid" w:color="ffff00" w:fill="ffffff"/>
        <w:tcBorders>
          <w:bottom w:val="single" w:color="000000" w:sz="6" w:space="0"/>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000000"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Table Professional"/>
    <w:basedOn w:val="925"/>
    <w:pPr>
      <w:pBdr/>
      <w:spacing/>
      <w:ind/>
    </w:pPr>
    <w:rPr>
      <w:rFonts w:eastAsia="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b/>
        <w:bCs/>
        <w:color w:val="auto"/>
      </w:rPr>
      <w:pPr>
        <w:pBdr/>
        <w:spacing/>
        <w:ind/>
      </w:pPr>
      <w:tblPr>
        <w:tblBorders/>
      </w:tblPr>
      <w:tcPr>
        <w:shd w:val="solid" w:color="000000" w:fill="ffffff"/>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Table Simple 1"/>
    <w:basedOn w:val="925"/>
    <w:pPr>
      <w:pBdr/>
      <w:spacing/>
      <w:ind/>
    </w:pPr>
    <w:rPr>
      <w:rFonts w:eastAsia="Calibri"/>
    </w:rPr>
    <w:tblPr>
      <w:tblBorders>
        <w:top w:val="single" w:color="008000" w:sz="12" w:space="0"/>
        <w:bottom w:val="single" w:color="008000" w:sz="12"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bottom w:val="single" w:color="008000" w:sz="6" w:space="0"/>
        </w:tcBorders>
      </w:tcPr>
    </w:tblStylePr>
    <w:tblStylePr w:type="lastCol">
      <w:pPr>
        <w:pBdr/>
        <w:spacing/>
        <w:ind/>
      </w:pPr>
      <w:tblPr>
        <w:tblBorders/>
      </w:tblPr>
      <w:tcPr>
        <w:tcBorders/>
      </w:tcPr>
    </w:tblStylePr>
    <w:tblStylePr w:type="lastRow">
      <w:pPr>
        <w:pBdr/>
        <w:spacing/>
        <w:ind/>
      </w:pPr>
      <w:tblPr>
        <w:tblBorders/>
      </w:tblPr>
      <w:tcPr>
        <w:tcBorders>
          <w:top w:val="single" w:color="008000"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Table Simple 2"/>
    <w:basedOn w:val="925"/>
    <w:pPr>
      <w:pBdr/>
      <w:spacing/>
      <w:ind/>
    </w:pPr>
    <w:rPr>
      <w:rFonts w:eastAsia="Calibri"/>
    </w:rPr>
    <w:tblP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right w:val="single" w:color="000000" w:sz="12" w:space="0"/>
        </w:tcBorders>
      </w:tcPr>
    </w:tblStylePr>
    <w:tblStylePr w:type="firstRow">
      <w:rPr>
        <w:b/>
        <w:bCs/>
      </w:rPr>
      <w:pPr>
        <w:pBdr/>
        <w:spacing/>
        <w:ind/>
      </w:pPr>
      <w:tblPr>
        <w:tblBorders/>
      </w:tblPr>
      <w:tcPr>
        <w:tcBorders>
          <w:bottom w:val="single" w:color="000000" w:sz="12" w:space="0"/>
        </w:tcBorders>
      </w:tcPr>
    </w:tblStylePr>
    <w:tblStylePr w:type="lastCol">
      <w:rPr>
        <w:b/>
        <w:bCs/>
      </w:rPr>
      <w:pPr>
        <w:pBdr/>
        <w:spacing/>
        <w:ind/>
      </w:pPr>
      <w:tblPr>
        <w:tblBorders/>
      </w:tblPr>
      <w:tcPr>
        <w:tcBorders>
          <w:left w:val="single" w:color="000000" w:sz="6" w:space="0"/>
        </w:tcBorders>
      </w:tcPr>
    </w:tblStylePr>
    <w:tblStylePr w:type="lastRow">
      <w:rPr>
        <w:b/>
        <w:bCs/>
        <w:color w:val="auto"/>
      </w:rPr>
      <w:pPr>
        <w:pBdr/>
        <w:spacing/>
        <w:ind/>
      </w:pPr>
      <w:tblPr>
        <w:tblBorders/>
      </w:tblPr>
      <w:tcPr>
        <w:tcBorders>
          <w:top w:val="single" w:color="000000" w:sz="6" w:space="0"/>
        </w:tcBorders>
      </w:tcPr>
    </w:tblStylePr>
    <w:tblStylePr w:type="nwCell">
      <w:pPr>
        <w:pBdr/>
        <w:spacing/>
        <w:ind/>
      </w:pPr>
      <w:tblPr>
        <w:tblBorders/>
      </w:tblPr>
      <w:tcPr>
        <w:tcBorders/>
      </w:tcPr>
    </w:tblStylePr>
    <w:tblStylePr w:type="neCell">
      <w:rPr>
        <w:b/>
        <w:bCs/>
      </w:rPr>
      <w:pPr>
        <w:pBdr/>
        <w:spacing/>
        <w:ind/>
      </w:pPr>
      <w:tblPr>
        <w:tblBorders/>
      </w:tblPr>
      <w:tcPr>
        <w:tcBorders>
          <w:left w:val="none" w:color="000000" w:sz="0" w:space="0"/>
        </w:tcBorders>
      </w:tcPr>
    </w:tblStylePr>
    <w:tblStylePr w:type="swCell">
      <w:rPr>
        <w:b/>
        <w:bCs/>
      </w:rPr>
      <w:pPr>
        <w:pBdr/>
        <w:spacing/>
        <w:ind/>
      </w:pPr>
      <w:tblPr>
        <w:tblBorders/>
      </w:tblPr>
      <w:tcPr>
        <w:tcBorders>
          <w:top w:val="none" w:color="000000" w:sz="0"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Table Simple 3"/>
    <w:basedOn w:val="925"/>
    <w:pPr>
      <w:pBdr/>
      <w:spacing/>
      <w:ind/>
    </w:pPr>
    <w:rPr>
      <w:rFonts w:eastAsia="Calibri"/>
    </w:rPr>
    <w:tblPr>
      <w:tblBorders>
        <w:top w:val="single" w:color="000000" w:sz="12" w:space="0"/>
        <w:left w:val="single" w:color="000000" w:sz="12" w:space="0"/>
        <w:bottom w:val="single" w:color="000000" w:sz="12" w:space="0"/>
        <w:right w:val="single" w:color="000000" w:sz="12" w:space="0"/>
      </w:tblBorders>
    </w:tbl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b/>
        <w:bCs/>
        <w:color w:val="ffffff"/>
      </w:rPr>
      <w:pPr>
        <w:pBdr/>
        <w:spacing/>
        <w:ind/>
      </w:pPr>
      <w:tblPr>
        <w:tblBorders/>
      </w:tblPr>
      <w:tcPr>
        <w:shd w:val="solid" w:color="000000" w:fill="ffffff"/>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Table Subtle 1"/>
    <w:basedOn w:val="925"/>
    <w:pPr>
      <w:pBdr/>
      <w:spacing/>
      <w:ind/>
    </w:pPr>
    <w:rPr>
      <w:rFonts w:eastAsia="Calibri"/>
    </w:rPr>
    <w:tblPr>
      <w:tblStyleRowBandSize w:val="1"/>
      <w:tblBorders/>
    </w:tblPr>
    <w:tcPr>
      <w:tcBorders/>
    </w:tcPr>
    <w:tblStylePr w:type="band1Horz">
      <w:pPr>
        <w:pBdr/>
        <w:spacing/>
        <w:ind/>
      </w:pPr>
      <w:tblPr>
        <w:tblBorders/>
      </w:tblPr>
      <w:tcPr>
        <w:shd w:val="pct25" w:color="808000" w:fill="ffffff"/>
        <w:tcBorders>
          <w:bottom w:val="single" w:color="000000" w:sz="6"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right w:val="single" w:color="000000" w:sz="12" w:space="0"/>
        </w:tcBorders>
      </w:tcPr>
    </w:tblStylePr>
    <w:tblStylePr w:type="firstRow">
      <w:pPr>
        <w:pBdr/>
        <w:spacing/>
        <w:ind/>
      </w:pPr>
      <w:tblPr>
        <w:tblBorders/>
      </w:tblPr>
      <w:tcPr>
        <w:tcBorders>
          <w:top w:val="single" w:color="000000" w:sz="6" w:space="0"/>
          <w:bottom w:val="single" w:color="000000" w:sz="12" w:space="0"/>
        </w:tcBorders>
      </w:tcPr>
    </w:tblStylePr>
    <w:tblStylePr w:type="lastCol">
      <w:pPr>
        <w:pBdr/>
        <w:spacing/>
        <w:ind/>
      </w:pPr>
      <w:tblPr>
        <w:tblBorders/>
      </w:tblPr>
      <w:tcPr>
        <w:tcBorders>
          <w:left w:val="single" w:color="000000" w:sz="12" w:space="0"/>
        </w:tcBorders>
      </w:tcPr>
    </w:tblStylePr>
    <w:tblStylePr w:type="lastRow">
      <w:pPr>
        <w:pBdr/>
        <w:spacing/>
        <w:ind/>
      </w:pPr>
      <w:tblPr>
        <w:tblBorders/>
      </w:tblPr>
      <w:tcPr>
        <w:shd w:val="pct25" w:color="800080" w:fill="ffffff"/>
        <w:tcBorders>
          <w:top w:val="single" w:color="000000" w:sz="12" w:space="0"/>
        </w:tcBorders>
      </w:tcPr>
    </w:tblStylePr>
    <w:tblStylePr w:type="nwCell">
      <w:pPr>
        <w:pBdr/>
        <w:spacing/>
        <w:ind/>
      </w:pPr>
      <w:tblPr>
        <w:tblBorders/>
      </w:tblPr>
      <w:tcPr>
        <w:tcBorders/>
      </w:tcPr>
    </w:tblStylePr>
    <w:tblStylePr w:type="neCell">
      <w:rPr>
        <w:b/>
        <w:bCs/>
      </w:rPr>
      <w:pPr>
        <w:pBdr/>
        <w:spacing/>
        <w:ind/>
      </w:pPr>
      <w:tblPr>
        <w:tblBorders/>
      </w:tblPr>
      <w:tcPr>
        <w:tcBorders/>
      </w:tcPr>
    </w:tblStylePr>
    <w:tblStylePr w:type="swCell">
      <w:rPr>
        <w:b/>
        <w:bCs/>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Table Subtle 2"/>
    <w:basedOn w:val="925"/>
    <w:pPr>
      <w:pBdr/>
      <w:spacing/>
      <w:ind/>
    </w:pPr>
    <w:rPr>
      <w:rFonts w:eastAsia="Calibri"/>
    </w:rPr>
    <w:tblPr>
      <w:tblBorders>
        <w:left w:val="single" w:color="000000" w:sz="6" w:space="0"/>
        <w:right w:val="single" w:color="000000" w:sz="6"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pct25" w:color="008000" w:fill="ffffff"/>
        <w:tcBorders>
          <w:right w:val="single" w:color="000000" w:sz="12" w:space="0"/>
        </w:tcBorders>
      </w:tcPr>
    </w:tblStylePr>
    <w:tblStylePr w:type="firstRow">
      <w:pPr>
        <w:pBdr/>
        <w:spacing/>
        <w:ind/>
      </w:pPr>
      <w:tblPr>
        <w:tblBorders/>
      </w:tblPr>
      <w:tcPr>
        <w:tcBorders>
          <w:bottom w:val="single" w:color="000000" w:sz="12" w:space="0"/>
        </w:tcBorders>
      </w:tcPr>
    </w:tblStylePr>
    <w:tblStylePr w:type="lastCol">
      <w:pPr>
        <w:pBdr/>
        <w:spacing/>
        <w:ind/>
      </w:pPr>
      <w:tblPr>
        <w:tblBorders/>
      </w:tblPr>
      <w:tcPr>
        <w:shd w:val="pct25" w:color="808000" w:fill="ffffff"/>
        <w:tcBorders>
          <w:left w:val="single" w:color="000000" w:sz="12" w:space="0"/>
        </w:tcBorders>
      </w:tcPr>
    </w:tblStylePr>
    <w:tblStylePr w:type="lastRow">
      <w:pPr>
        <w:pBdr/>
        <w:spacing/>
        <w:ind/>
      </w:pPr>
      <w:tblPr>
        <w:tblBorders/>
      </w:tblPr>
      <w:tcPr>
        <w:tcBorders>
          <w:top w:val="single" w:color="000000" w:sz="12" w:space="0"/>
        </w:tcBorders>
      </w:tcPr>
    </w:tblStylePr>
    <w:tblStylePr w:type="nwCell">
      <w:pPr>
        <w:pBdr/>
        <w:spacing/>
        <w:ind/>
      </w:pPr>
      <w:tblPr>
        <w:tblBorders/>
      </w:tblPr>
      <w:tcPr>
        <w:tcBorders/>
      </w:tcPr>
    </w:tblStylePr>
    <w:tblStylePr w:type="neCell">
      <w:rPr>
        <w:b/>
        <w:bCs/>
      </w:rPr>
      <w:pPr>
        <w:pBdr/>
        <w:spacing/>
        <w:ind/>
      </w:pPr>
      <w:tblPr>
        <w:tblBorders/>
      </w:tblPr>
      <w:tcPr>
        <w:tcBorders/>
      </w:tcPr>
    </w:tblStylePr>
    <w:tblStylePr w:type="swCell">
      <w:rPr>
        <w:b/>
        <w:bCs/>
      </w:rPr>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Table Theme"/>
    <w:basedOn w:val="925"/>
    <w:pPr>
      <w:pBdr/>
      <w:spacing/>
      <w:ind/>
    </w:pPr>
    <w:rPr>
      <w:rFonts w:eastAsia="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Table Web 1"/>
    <w:basedOn w:val="925"/>
    <w:pPr>
      <w:pBdr/>
      <w:spacing/>
      <w:ind/>
    </w:pPr>
    <w:rPr>
      <w:rFonts w:eastAsia="Calibri"/>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color w:val="auto"/>
      </w:rPr>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Table Web 2"/>
    <w:basedOn w:val="925"/>
    <w:pPr>
      <w:pBdr/>
      <w:spacing/>
      <w:ind/>
    </w:pPr>
    <w:rPr>
      <w:rFonts w:eastAsia="Calibri"/>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color w:val="auto"/>
      </w:rPr>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Table Web 3"/>
    <w:basedOn w:val="925"/>
    <w:pPr>
      <w:pBdr/>
      <w:spacing/>
      <w:ind/>
    </w:pPr>
    <w:rPr>
      <w:rFonts w:eastAsia="Calibri"/>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rPr>
        <w:color w:val="auto"/>
      </w:rPr>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07">
    <w:name w:val="Title"/>
    <w:basedOn w:val="914"/>
    <w:link w:val="1108"/>
    <w:qFormat/>
    <w:pPr>
      <w:pBdr/>
      <w:spacing w:after="60" w:before="240"/>
      <w:ind/>
      <w:jc w:val="center"/>
      <w:outlineLvl w:val="0"/>
    </w:pPr>
    <w:rPr>
      <w:rFonts w:ascii="Arial" w:hAnsi="Arial" w:cs="Arial"/>
      <w:b/>
      <w:bCs/>
      <w:sz w:val="32"/>
      <w:szCs w:val="32"/>
    </w:rPr>
  </w:style>
  <w:style w:type="character" w:styleId="1108" w:customStyle="1">
    <w:name w:val="Title Char"/>
    <w:link w:val="1107"/>
    <w:pPr>
      <w:pBdr/>
      <w:spacing/>
      <w:ind/>
    </w:pPr>
    <w:rPr>
      <w:rFonts w:ascii="Arial" w:hAnsi="Arial" w:cs="Arial"/>
      <w:b/>
      <w:bCs/>
      <w:sz w:val="32"/>
      <w:szCs w:val="32"/>
    </w:rPr>
  </w:style>
  <w:style w:type="paragraph" w:styleId="1109" w:customStyle="1">
    <w:name w:val="bang-noidung"/>
    <w:basedOn w:val="914"/>
    <w:link w:val="1110"/>
    <w:pPr>
      <w:pBdr/>
      <w:spacing w:after="120" w:before="120"/>
      <w:ind w:firstLine="567"/>
      <w:jc w:val="center"/>
      <w:outlineLvl w:val="2"/>
    </w:pPr>
    <w:rPr>
      <w:rFonts w:eastAsia="Calibri"/>
      <w:i/>
      <w:sz w:val="26"/>
      <w:szCs w:val="28"/>
    </w:rPr>
  </w:style>
  <w:style w:type="character" w:styleId="1110" w:customStyle="1">
    <w:name w:val="bang-noidung Char"/>
    <w:link w:val="1109"/>
    <w:pPr>
      <w:pBdr/>
      <w:spacing/>
      <w:ind/>
    </w:pPr>
    <w:rPr>
      <w:rFonts w:eastAsia="Calibri"/>
      <w:i/>
      <w:sz w:val="26"/>
      <w:szCs w:val="28"/>
    </w:rPr>
  </w:style>
  <w:style w:type="paragraph" w:styleId="1111" w:customStyle="1">
    <w:name w:val="hinh-pluc4"/>
    <w:basedOn w:val="986"/>
    <w:pPr>
      <w:pBdr/>
      <w:spacing/>
      <w:ind/>
      <w:jc w:val="center"/>
    </w:pPr>
    <w:rPr>
      <w:i w:val="0"/>
      <w:sz w:val="26"/>
    </w:rPr>
  </w:style>
  <w:style w:type="paragraph" w:styleId="1112" w:customStyle="1">
    <w:name w:val="hinh-pluc2"/>
    <w:basedOn w:val="986"/>
    <w:pPr>
      <w:pBdr/>
      <w:spacing/>
      <w:ind/>
      <w:jc w:val="center"/>
    </w:pPr>
    <w:rPr>
      <w:i w:val="0"/>
      <w:sz w:val="26"/>
    </w:rPr>
  </w:style>
  <w:style w:type="paragraph" w:styleId="1113" w:customStyle="1">
    <w:name w:val="hinh-pluc1"/>
    <w:basedOn w:val="992"/>
    <w:pPr>
      <w:pBdr/>
      <w:spacing/>
      <w:ind/>
    </w:pPr>
    <w:rPr>
      <w:i w:val="0"/>
    </w:rPr>
  </w:style>
  <w:style w:type="paragraph" w:styleId="1114" w:customStyle="1">
    <w:name w:val="bang-pl2"/>
    <w:basedOn w:val="914"/>
    <w:pPr>
      <w:pBdr/>
      <w:spacing/>
      <w:ind/>
      <w:jc w:val="center"/>
    </w:pPr>
    <w:rPr>
      <w:i/>
      <w:sz w:val="26"/>
      <w:lang w:eastAsia="zh-CN"/>
    </w:rPr>
  </w:style>
  <w:style w:type="paragraph" w:styleId="1115" w:customStyle="1">
    <w:name w:val="hinh-pluc3"/>
    <w:basedOn w:val="993"/>
    <w:pPr>
      <w:pBdr/>
      <w:spacing/>
      <w:ind/>
    </w:pPr>
  </w:style>
  <w:style w:type="paragraph" w:styleId="1116" w:customStyle="1">
    <w:name w:val="bang-pl1"/>
    <w:basedOn w:val="914"/>
    <w:link w:val="1117"/>
    <w:pPr>
      <w:pBdr/>
      <w:spacing w:after="60" w:before="60"/>
      <w:ind/>
      <w:jc w:val="center"/>
    </w:pPr>
    <w:rPr>
      <w:rFonts w:eastAsia="Calibri"/>
      <w:i/>
      <w:sz w:val="26"/>
      <w:lang w:eastAsia="zh-CN"/>
    </w:rPr>
  </w:style>
  <w:style w:type="character" w:styleId="1117" w:customStyle="1">
    <w:name w:val="bang-pl1 Char"/>
    <w:link w:val="1116"/>
    <w:pPr>
      <w:pBdr/>
      <w:spacing/>
      <w:ind/>
    </w:pPr>
    <w:rPr>
      <w:rFonts w:eastAsia="Calibri"/>
      <w:i/>
      <w:sz w:val="26"/>
      <w:szCs w:val="24"/>
      <w:lang w:eastAsia="zh-CN"/>
    </w:rPr>
  </w:style>
  <w:style w:type="paragraph" w:styleId="1118" w:customStyle="1">
    <w:name w:val="Char Char5 Char Char Char Char"/>
    <w:basedOn w:val="914"/>
    <w:semiHidden/>
    <w:pPr>
      <w:pBdr/>
      <w:spacing w:after="160" w:line="240" w:lineRule="exact"/>
      <w:ind/>
    </w:pPr>
    <w:rPr>
      <w:rFonts w:ascii="Verdana" w:hAnsi="Verdana" w:cs="Verdana"/>
      <w:sz w:val="20"/>
      <w:szCs w:val="20"/>
    </w:rPr>
  </w:style>
  <w:style w:type="character" w:styleId="1119" w:customStyle="1">
    <w:name w:val="Char Char4"/>
    <w:pPr>
      <w:pBdr/>
      <w:spacing/>
      <w:ind/>
    </w:pPr>
    <w:rPr>
      <w:sz w:val="26"/>
      <w:szCs w:val="24"/>
      <w:lang w:val="en-US" w:eastAsia="zh-CN" w:bidi="ar-SA"/>
    </w:rPr>
  </w:style>
  <w:style w:type="paragraph" w:styleId="1120" w:customStyle="1">
    <w:name w:val="Default Paragraph Font Para Char Char Char Char Char"/>
    <w:pPr>
      <w:pBdr/>
      <w:tabs>
        <w:tab w:val="left" w:leader="none" w:pos="1152"/>
      </w:tabs>
      <w:spacing w:after="120" w:before="120" w:line="312" w:lineRule="auto"/>
      <w:ind/>
    </w:pPr>
    <w:rPr>
      <w:rFonts w:ascii="Arial" w:hAnsi="Arial" w:cs="Arial"/>
      <w:sz w:val="26"/>
      <w:szCs w:val="26"/>
    </w:rPr>
  </w:style>
  <w:style w:type="character" w:styleId="1121" w:customStyle="1">
    <w:name w:val="Caption Char1 Char Char"/>
    <w:pPr>
      <w:pBdr/>
      <w:spacing/>
      <w:ind/>
    </w:pPr>
    <w:rPr>
      <w:b/>
      <w:sz w:val="26"/>
      <w:lang w:val="en-GB" w:eastAsia="en-US" w:bidi="ar-SA"/>
    </w:rPr>
  </w:style>
  <w:style w:type="paragraph" w:styleId="1122" w:customStyle="1">
    <w:name w:val="hinh-pl2"/>
    <w:basedOn w:val="987"/>
    <w:link w:val="1123"/>
    <w:pPr>
      <w:pBdr/>
      <w:tabs>
        <w:tab w:val="right" w:leader="dot" w:pos="9019"/>
      </w:tabs>
      <w:spacing w:after="40" w:before="40"/>
      <w:ind/>
      <w:jc w:val="center"/>
    </w:pPr>
    <w:rPr>
      <w:rFonts w:eastAsia="Calibri"/>
      <w:sz w:val="26"/>
      <w:lang w:eastAsia="zh-CN"/>
    </w:rPr>
  </w:style>
  <w:style w:type="character" w:styleId="1123" w:customStyle="1">
    <w:name w:val="hinh-pl2 Char"/>
    <w:link w:val="1122"/>
    <w:pPr>
      <w:pBdr/>
      <w:spacing/>
      <w:ind/>
    </w:pPr>
    <w:rPr>
      <w:rFonts w:eastAsia="Calibri"/>
      <w:sz w:val="26"/>
      <w:szCs w:val="24"/>
      <w:lang w:eastAsia="zh-CN"/>
    </w:rPr>
  </w:style>
  <w:style w:type="paragraph" w:styleId="1124" w:customStyle="1">
    <w:name w:val="Bang"/>
    <w:basedOn w:val="914"/>
    <w:link w:val="1151"/>
    <w:pPr>
      <w:pBdr/>
      <w:spacing w:after="60" w:before="60" w:line="320" w:lineRule="exact"/>
      <w:ind/>
      <w:jc w:val="both"/>
    </w:pPr>
    <w:rPr>
      <w:rFonts w:ascii="Arial" w:hAnsi="Arial"/>
      <w:sz w:val="22"/>
      <w:szCs w:val="26"/>
    </w:rPr>
  </w:style>
  <w:style w:type="character" w:styleId="1125" w:customStyle="1">
    <w:name w:val="hinh-noidung Char"/>
    <w:link w:val="993"/>
    <w:pPr>
      <w:pBdr/>
      <w:spacing/>
      <w:ind/>
    </w:pPr>
    <w:rPr>
      <w:rFonts w:eastAsia="Calibri"/>
      <w:sz w:val="26"/>
      <w:szCs w:val="28"/>
    </w:rPr>
  </w:style>
  <w:style w:type="paragraph" w:styleId="1126">
    <w:name w:val="TOC Heading"/>
    <w:basedOn w:val="915"/>
    <w:next w:val="914"/>
    <w:uiPriority w:val="39"/>
    <w:qFormat/>
    <w:pPr>
      <w:keepLines w:val="true"/>
      <w:pBdr/>
      <w:tabs>
        <w:tab w:val="clear" w:leader="none" w:pos="1440"/>
        <w:tab w:val="clear" w:leader="none" w:pos="2470"/>
      </w:tabs>
      <w:spacing w:after="0" w:before="480" w:line="276" w:lineRule="auto"/>
      <w:ind w:firstLine="0" w:left="0"/>
      <w:jc w:val="left"/>
      <w:outlineLvl w:val="9"/>
    </w:pPr>
    <w:rPr>
      <w:rFonts w:ascii="Cambria" w:hAnsi="Cambria" w:eastAsia="Times New Roman"/>
      <w:color w:val="365f91"/>
      <w:sz w:val="28"/>
      <w:szCs w:val="28"/>
    </w:rPr>
  </w:style>
  <w:style w:type="paragraph" w:styleId="1127" w:customStyle="1">
    <w:name w:val="Char Char2 Char Char Char Char Char Char Char Char"/>
    <w:basedOn w:val="914"/>
    <w:semiHidden/>
    <w:pPr>
      <w:pBdr/>
      <w:spacing w:after="160" w:line="240" w:lineRule="exact"/>
      <w:ind/>
    </w:pPr>
    <w:rPr>
      <w:rFonts w:ascii="Verdana" w:hAnsi="Verdana" w:cs="Verdana"/>
      <w:sz w:val="20"/>
      <w:szCs w:val="20"/>
    </w:rPr>
  </w:style>
  <w:style w:type="paragraph" w:styleId="1128" w:customStyle="1">
    <w:name w:val="Char Char5 Char Char Char Char Char Char"/>
    <w:basedOn w:val="914"/>
    <w:semiHidden/>
    <w:pPr>
      <w:pBdr/>
      <w:spacing w:after="160" w:line="240" w:lineRule="exact"/>
      <w:ind/>
    </w:pPr>
    <w:rPr>
      <w:rFonts w:ascii="Verdana" w:hAnsi="Verdana" w:cs="Verdana"/>
      <w:sz w:val="20"/>
      <w:szCs w:val="20"/>
    </w:rPr>
  </w:style>
  <w:style w:type="paragraph" w:styleId="1129" w:customStyle="1">
    <w:name w:val="Char Char5 Char Char Char Char Char Char Char Char Char Char"/>
    <w:basedOn w:val="914"/>
    <w:semiHidden/>
    <w:pPr>
      <w:pBdr/>
      <w:spacing w:after="160" w:line="240" w:lineRule="exact"/>
      <w:ind/>
    </w:pPr>
    <w:rPr>
      <w:rFonts w:ascii="Verdana" w:hAnsi="Verdana" w:cs="Verdana"/>
      <w:sz w:val="20"/>
      <w:szCs w:val="20"/>
    </w:rPr>
  </w:style>
  <w:style w:type="character" w:styleId="1130" w:customStyle="1">
    <w:name w:val="fontstyle01"/>
    <w:pPr>
      <w:pBdr/>
      <w:spacing/>
      <w:ind/>
    </w:pPr>
    <w:rPr>
      <w:rFonts w:hint="default" w:ascii="Times New Roman" w:hAnsi="Times New Roman" w:cs="Times New Roman"/>
      <w:b w:val="0"/>
      <w:bCs w:val="0"/>
      <w:i w:val="0"/>
      <w:iCs w:val="0"/>
      <w:color w:val="000000"/>
      <w:sz w:val="28"/>
      <w:szCs w:val="28"/>
    </w:rPr>
  </w:style>
  <w:style w:type="character" w:styleId="1131" w:customStyle="1">
    <w:name w:val="fontstyle21"/>
    <w:pPr>
      <w:pBdr/>
      <w:spacing/>
      <w:ind/>
    </w:pPr>
    <w:rPr>
      <w:rFonts w:hint="default" w:ascii="Times New Roman" w:hAnsi="Times New Roman" w:cs="Times New Roman"/>
      <w:b w:val="0"/>
      <w:bCs w:val="0"/>
      <w:i w:val="0"/>
      <w:iCs w:val="0"/>
      <w:color w:val="000000"/>
      <w:sz w:val="28"/>
      <w:szCs w:val="28"/>
    </w:rPr>
  </w:style>
  <w:style w:type="character" w:styleId="1132" w:customStyle="1">
    <w:name w:val="Paragraph Text Char"/>
    <w:link w:val="1133"/>
    <w:pPr>
      <w:pBdr/>
      <w:spacing/>
      <w:ind/>
    </w:pPr>
    <w:rPr>
      <w:rFonts w:ascii="Arial" w:hAnsi="Arial" w:cs="Arial"/>
      <w:sz w:val="22"/>
      <w:szCs w:val="22"/>
      <w:lang w:val="en-AU"/>
    </w:rPr>
  </w:style>
  <w:style w:type="paragraph" w:styleId="1133" w:customStyle="1">
    <w:name w:val="Paragraph Text"/>
    <w:basedOn w:val="914"/>
    <w:link w:val="1132"/>
    <w:pPr>
      <w:pBdr/>
      <w:tabs>
        <w:tab w:val="left" w:leader="none" w:pos="567"/>
      </w:tabs>
      <w:spacing w:line="360" w:lineRule="auto"/>
      <w:ind/>
    </w:pPr>
    <w:rPr>
      <w:rFonts w:ascii="Arial" w:hAnsi="Arial" w:cs="Arial"/>
      <w:sz w:val="22"/>
      <w:szCs w:val="22"/>
      <w:lang w:val="en-AU"/>
    </w:rPr>
  </w:style>
  <w:style w:type="paragraph" w:styleId="1134" w:customStyle="1">
    <w:name w:val="KThuong"/>
    <w:basedOn w:val="914"/>
    <w:link w:val="1135"/>
    <w:qFormat/>
    <w:pPr>
      <w:pBdr/>
      <w:spacing w:after="120" w:before="120" w:line="276" w:lineRule="auto"/>
      <w:ind w:left="907"/>
      <w:jc w:val="both"/>
    </w:pPr>
    <w:rPr>
      <w:rFonts w:eastAsia="Calibri"/>
      <w:sz w:val="26"/>
      <w:lang w:val="nl-NL"/>
    </w:rPr>
  </w:style>
  <w:style w:type="character" w:styleId="1135" w:customStyle="1">
    <w:name w:val="KThuong Char"/>
    <w:link w:val="1134"/>
    <w:pPr>
      <w:pBdr/>
      <w:spacing/>
      <w:ind/>
    </w:pPr>
    <w:rPr>
      <w:rFonts w:eastAsia="Calibri"/>
      <w:sz w:val="26"/>
      <w:szCs w:val="24"/>
      <w:lang w:val="nl-NL"/>
    </w:rPr>
  </w:style>
  <w:style w:type="character" w:styleId="1136" w:customStyle="1">
    <w:name w:val="Char Char9"/>
    <w:pPr>
      <w:pBdr/>
      <w:spacing/>
      <w:ind/>
    </w:pPr>
    <w:rPr>
      <w:bCs/>
      <w:color w:val="0000ff"/>
      <w:sz w:val="26"/>
      <w:szCs w:val="26"/>
      <w:lang w:bidi="ar-SA"/>
    </w:rPr>
  </w:style>
  <w:style w:type="paragraph" w:styleId="1137" w:customStyle="1">
    <w:name w:val="Char Char11"/>
    <w:basedOn w:val="914"/>
    <w:semiHidden/>
    <w:pPr>
      <w:pBdr/>
      <w:spacing w:after="160" w:line="240" w:lineRule="exact"/>
      <w:ind/>
    </w:pPr>
    <w:rPr>
      <w:rFonts w:ascii="Verdana" w:hAnsi="Verdana" w:cs="Verdana"/>
      <w:sz w:val="20"/>
      <w:szCs w:val="20"/>
    </w:rPr>
  </w:style>
  <w:style w:type="paragraph" w:styleId="1138" w:customStyle="1">
    <w:name w:val="Char Char4 Char Char Char Char"/>
    <w:basedOn w:val="914"/>
    <w:semiHidden/>
    <w:pPr>
      <w:pBdr/>
      <w:spacing w:after="160" w:line="240" w:lineRule="exact"/>
      <w:ind/>
    </w:pPr>
    <w:rPr>
      <w:rFonts w:ascii="Verdana" w:hAnsi="Verdana" w:cs="Verdana"/>
      <w:sz w:val="20"/>
      <w:szCs w:val="20"/>
    </w:rPr>
  </w:style>
  <w:style w:type="paragraph" w:styleId="1139" w:customStyle="1">
    <w:name w:val="Char Char4 Char Char Char Char Char Char"/>
    <w:basedOn w:val="914"/>
    <w:semiHidden/>
    <w:pPr>
      <w:pBdr/>
      <w:spacing w:after="160" w:line="240" w:lineRule="exact"/>
      <w:ind/>
    </w:pPr>
    <w:rPr>
      <w:rFonts w:ascii="Verdana" w:hAnsi="Verdana" w:cs="Verdana"/>
      <w:sz w:val="20"/>
      <w:szCs w:val="20"/>
    </w:rPr>
  </w:style>
  <w:style w:type="paragraph" w:styleId="1140" w:customStyle="1">
    <w:name w:val="3"/>
    <w:basedOn w:val="914"/>
    <w:link w:val="1141"/>
    <w:pPr>
      <w:pBdr/>
      <w:spacing w:line="288" w:lineRule="auto"/>
      <w:ind w:firstLine="567"/>
      <w:jc w:val="both"/>
    </w:pPr>
    <w:rPr>
      <w:rFonts w:eastAsia="Calibri"/>
      <w:bCs/>
      <w:iCs/>
      <w:sz w:val="26"/>
    </w:rPr>
  </w:style>
  <w:style w:type="character" w:styleId="1141" w:customStyle="1">
    <w:name w:val="3 Char"/>
    <w:link w:val="1140"/>
    <w:pPr>
      <w:pBdr/>
      <w:spacing/>
      <w:ind/>
    </w:pPr>
    <w:rPr>
      <w:rFonts w:eastAsia="Calibri"/>
      <w:bCs/>
      <w:iCs/>
      <w:sz w:val="26"/>
      <w:szCs w:val="24"/>
    </w:rPr>
  </w:style>
  <w:style w:type="paragraph" w:styleId="1142" w:customStyle="1">
    <w:name w:val="Char Char11 Char Char"/>
    <w:basedOn w:val="914"/>
    <w:semiHidden/>
    <w:pPr>
      <w:pBdr/>
      <w:spacing w:after="160" w:line="240" w:lineRule="exact"/>
      <w:ind/>
    </w:pPr>
    <w:rPr>
      <w:rFonts w:ascii="Verdana" w:hAnsi="Verdana" w:cs="Verdana"/>
      <w:sz w:val="20"/>
      <w:szCs w:val="20"/>
    </w:rPr>
  </w:style>
  <w:style w:type="paragraph" w:styleId="1143" w:customStyle="1">
    <w:name w:val="Char Char5 Char Char"/>
    <w:basedOn w:val="914"/>
    <w:semiHidden/>
    <w:pPr>
      <w:pBdr/>
      <w:spacing w:after="160" w:line="240" w:lineRule="exact"/>
      <w:ind/>
    </w:pPr>
    <w:rPr>
      <w:rFonts w:ascii="Verdana" w:hAnsi="Verdana" w:cs="Verdana"/>
      <w:sz w:val="20"/>
      <w:szCs w:val="20"/>
    </w:rPr>
  </w:style>
  <w:style w:type="paragraph" w:styleId="1144" w:customStyle="1">
    <w:name w:val="Char Char5 Char Char Char Char Char Char Char Char"/>
    <w:basedOn w:val="914"/>
    <w:semiHidden/>
    <w:pPr>
      <w:pBdr/>
      <w:spacing w:after="160" w:line="240" w:lineRule="exact"/>
      <w:ind/>
    </w:pPr>
    <w:rPr>
      <w:rFonts w:ascii="Verdana" w:hAnsi="Verdana" w:cs="Verdana"/>
      <w:sz w:val="20"/>
      <w:szCs w:val="20"/>
    </w:rPr>
  </w:style>
  <w:style w:type="paragraph" w:styleId="1145" w:customStyle="1">
    <w:name w:val="Char Char5 Char Char Char Char Char Char Char Char Char Char Char Char"/>
    <w:basedOn w:val="914"/>
    <w:semiHidden/>
    <w:pPr>
      <w:pBdr/>
      <w:spacing w:after="160" w:line="240" w:lineRule="exact"/>
      <w:ind/>
    </w:pPr>
    <w:rPr>
      <w:rFonts w:ascii="Verdana" w:hAnsi="Verdana" w:cs="Verdana"/>
      <w:sz w:val="20"/>
      <w:szCs w:val="20"/>
    </w:rPr>
  </w:style>
  <w:style w:type="paragraph" w:styleId="1146" w:customStyle="1">
    <w:name w:val="Char Char Char Char Char Char Char Char Char Char Char Char Char Char Char"/>
    <w:basedOn w:val="914"/>
    <w:pPr>
      <w:pBdr/>
      <w:spacing w:after="160" w:line="240" w:lineRule="exact"/>
      <w:ind/>
    </w:pPr>
    <w:rPr>
      <w:rFonts w:ascii="Verdana" w:hAnsi="Verdana"/>
      <w:sz w:val="20"/>
      <w:szCs w:val="20"/>
    </w:rPr>
  </w:style>
  <w:style w:type="paragraph" w:styleId="1147" w:customStyle="1">
    <w:name w:val="Char Char Char Char"/>
    <w:pPr>
      <w:pBdr/>
      <w:tabs>
        <w:tab w:val="num" w:leader="none" w:pos="720"/>
      </w:tabs>
      <w:spacing w:after="120"/>
      <w:ind w:left="357"/>
    </w:pPr>
  </w:style>
  <w:style w:type="paragraph" w:styleId="1148" w:customStyle="1">
    <w:name w:val="Char"/>
    <w:basedOn w:val="914"/>
    <w:semiHidden/>
    <w:pPr>
      <w:pBdr/>
      <w:spacing w:after="160" w:line="240" w:lineRule="exact"/>
      <w:ind/>
    </w:pPr>
    <w:rPr>
      <w:rFonts w:ascii="Arial" w:hAnsi="Arial"/>
      <w:sz w:val="22"/>
      <w:szCs w:val="22"/>
    </w:rPr>
  </w:style>
  <w:style w:type="character" w:styleId="1149" w:customStyle="1">
    <w:name w:val="apple-style-span"/>
    <w:pPr>
      <w:pBdr/>
      <w:spacing/>
      <w:ind/>
    </w:pPr>
  </w:style>
  <w:style w:type="character" w:styleId="1150" w:customStyle="1">
    <w:name w:val="Body Text 2 Char"/>
    <w:link w:val="932"/>
    <w:pPr>
      <w:pBdr/>
      <w:spacing/>
      <w:ind/>
    </w:pPr>
    <w:rPr>
      <w:rFonts w:ascii="VNI-Times" w:hAnsi="VNI-Times"/>
      <w:sz w:val="26"/>
    </w:rPr>
  </w:style>
  <w:style w:type="character" w:styleId="1151" w:customStyle="1">
    <w:name w:val="Bang Char"/>
    <w:link w:val="1124"/>
    <w:pPr>
      <w:pBdr/>
      <w:spacing/>
      <w:ind/>
    </w:pPr>
    <w:rPr>
      <w:rFonts w:ascii="Arial" w:hAnsi="Arial"/>
      <w:sz w:val="22"/>
      <w:szCs w:val="26"/>
    </w:rPr>
  </w:style>
  <w:style w:type="character" w:styleId="1152" w:customStyle="1">
    <w:name w:val="Văn bản nội dung (2)_"/>
    <w:link w:val="1153"/>
    <w:pPr>
      <w:pBdr/>
      <w:spacing/>
      <w:ind/>
    </w:pPr>
    <w:rPr>
      <w:rFonts w:ascii="Arial" w:hAnsi="Arial" w:cs="Arial"/>
      <w:shd w:val="clear" w:color="auto" w:fill="ffffff"/>
    </w:rPr>
  </w:style>
  <w:style w:type="paragraph" w:styleId="1153" w:customStyle="1">
    <w:name w:val="Văn bản nội dung (2)1"/>
    <w:basedOn w:val="914"/>
    <w:link w:val="1152"/>
    <w:pPr>
      <w:widowControl w:val="false"/>
      <w:pBdr/>
      <w:shd w:val="clear" w:color="auto" w:fill="ffffff"/>
      <w:spacing w:after="60" w:before="180" w:line="360" w:lineRule="exact"/>
      <w:ind/>
      <w:jc w:val="both"/>
    </w:pPr>
    <w:rPr>
      <w:rFonts w:ascii="Arial" w:hAnsi="Arial" w:cs="Arial"/>
      <w:sz w:val="20"/>
      <w:szCs w:val="20"/>
    </w:rPr>
  </w:style>
  <w:style w:type="character" w:styleId="1154" w:customStyle="1">
    <w:name w:val="Body text (2) + Italic"/>
    <w:uiPriority w:val="99"/>
    <w:pPr>
      <w:pBdr/>
      <w:spacing/>
      <w:ind/>
    </w:pPr>
    <w:rPr>
      <w:rFonts w:ascii="Times New Roman" w:hAnsi="Times New Roman" w:cs="Times New Roman"/>
      <w:i/>
      <w:iCs/>
      <w:sz w:val="26"/>
      <w:szCs w:val="26"/>
      <w:u w:val="none"/>
      <w:shd w:val="clear" w:color="auto" w:fill="ffffff"/>
    </w:rPr>
  </w:style>
  <w:style w:type="character" w:styleId="1155" w:customStyle="1">
    <w:name w:val="Normal (Web) Char1"/>
    <w:link w:val="928"/>
    <w:pPr>
      <w:pBdr/>
      <w:spacing/>
      <w:ind/>
    </w:pPr>
    <w:rPr>
      <w:sz w:val="24"/>
      <w:szCs w:val="24"/>
    </w:rPr>
  </w:style>
  <w:style w:type="character" w:styleId="1156" w:customStyle="1">
    <w:name w:val="Unresolved Mention1"/>
    <w:basedOn w:val="924"/>
    <w:uiPriority w:val="99"/>
    <w:semiHidden/>
    <w:unhideWhenUsed/>
    <w:pPr>
      <w:pBdr/>
      <w:spacing/>
      <w:ind/>
    </w:pPr>
    <w:rPr>
      <w:color w:val="605e5c"/>
      <w:shd w:val="clear" w:color="auto" w:fill="e1dfdd"/>
    </w:rPr>
  </w:style>
  <w:style w:type="character" w:styleId="1157">
    <w:name w:val="annotation reference"/>
    <w:basedOn w:val="924"/>
    <w:semiHidden/>
    <w:unhideWhenUsed/>
    <w:pPr>
      <w:pBdr/>
      <w:spacing/>
      <w:ind/>
    </w:pPr>
    <w:rPr>
      <w:sz w:val="16"/>
      <w:szCs w:val="16"/>
    </w:rPr>
  </w:style>
  <w:style w:type="paragraph" w:styleId="1158">
    <w:name w:val="annotation text"/>
    <w:basedOn w:val="914"/>
    <w:link w:val="1159"/>
    <w:unhideWhenUsed/>
    <w:pPr>
      <w:pBdr/>
      <w:spacing/>
      <w:ind/>
    </w:pPr>
    <w:rPr>
      <w:sz w:val="20"/>
      <w:szCs w:val="20"/>
    </w:rPr>
  </w:style>
  <w:style w:type="character" w:styleId="1159" w:customStyle="1">
    <w:name w:val="Comment Text Char"/>
    <w:basedOn w:val="924"/>
    <w:link w:val="1158"/>
    <w:pPr>
      <w:pBdr/>
      <w:spacing/>
      <w:ind/>
    </w:pPr>
  </w:style>
  <w:style w:type="paragraph" w:styleId="1160">
    <w:name w:val="annotation subject"/>
    <w:basedOn w:val="1158"/>
    <w:next w:val="1158"/>
    <w:link w:val="1161"/>
    <w:semiHidden/>
    <w:unhideWhenUsed/>
    <w:pPr>
      <w:pBdr/>
      <w:spacing/>
      <w:ind/>
    </w:pPr>
    <w:rPr>
      <w:b/>
      <w:bCs/>
    </w:rPr>
  </w:style>
  <w:style w:type="character" w:styleId="1161" w:customStyle="1">
    <w:name w:val="Comment Subject Char"/>
    <w:basedOn w:val="1159"/>
    <w:link w:val="1160"/>
    <w:semiHidden/>
    <w:pPr>
      <w:pBdr/>
      <w:spacing/>
      <w:ind/>
    </w:pPr>
    <w:rPr>
      <w:b/>
      <w:bCs/>
    </w:rPr>
  </w:style>
  <w:style w:type="character" w:styleId="1162" w:customStyle="1">
    <w:name w:val="Unresolved Mention2"/>
    <w:basedOn w:val="924"/>
    <w:uiPriority w:val="99"/>
    <w:semiHidden/>
    <w:unhideWhenUsed/>
    <w:pPr>
      <w:pBdr/>
      <w:spacing/>
      <w:ind/>
    </w:pPr>
    <w:rPr>
      <w:color w:val="605e5c"/>
      <w:shd w:val="clear" w:color="auto" w:fill="e1dfdd"/>
    </w:rPr>
  </w:style>
  <w:style w:type="character" w:styleId="1163" w:customStyle="1">
    <w:name w:val="Unresolved Mention3"/>
    <w:basedOn w:val="92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https://thuvienphapluat.vn/phap-luat/tim-van-ban.aspx?keyword=02/2020/NQ-H%C4%90ND&amp;match=True&amp;area=2&amp;lan=1&amp;bday=17/7/2020&amp;eday=17/7/202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29B97-A0B4-4B1B-8DEF-06D211EA8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ONLYOFFICE/8.3.3.19</Application>
  <DocSecurity>0</DocSecurity>
  <ScaleCrop>0</ScaleCrop>
  <HeadingPairs>
    <vt:vector size="0" baseType="variant"/>
  </HeadingPairs>
  <TitlesOfParts>
    <vt:vector size="0" baseType="lpstr"/>
  </TitlesOfParts>
  <Company>&lt;arabianhorse&gt;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NÔNG NGHIỆP VÀ PTNT           CỘNG HÒA XÃ HỘI CHỦ NGHĨA VIỆT NAM</dc:title>
  <dc:creator>nga.us</dc:creator>
  <cp:lastModifiedBy>Trịnh Quang Hiền</cp:lastModifiedBy>
  <cp:revision>6</cp:revision>
  <dcterms:created xsi:type="dcterms:W3CDTF">2026-07-16T04:38:00Z</dcterms:created>
  <dcterms:modified xsi:type="dcterms:W3CDTF">2026-07-20T07:04:51Z</dcterms:modified>
</cp:coreProperties>
</file>