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2E383F" w:rsidRPr="00931DA0" w14:paraId="59091456" w14:textId="77777777" w:rsidTr="00382A4F">
        <w:trPr>
          <w:trHeight w:val="709"/>
        </w:trPr>
        <w:tc>
          <w:tcPr>
            <w:tcW w:w="1800" w:type="pct"/>
            <w:tcMar>
              <w:top w:w="0" w:type="dxa"/>
              <w:left w:w="108" w:type="dxa"/>
              <w:bottom w:w="0" w:type="dxa"/>
              <w:right w:w="108" w:type="dxa"/>
            </w:tcMar>
          </w:tcPr>
          <w:p w14:paraId="29CCD43E" w14:textId="77777777" w:rsidR="002E383F" w:rsidRPr="00931DA0" w:rsidRDefault="002E383F" w:rsidP="00931DA0">
            <w:pPr>
              <w:adjustRightInd w:val="0"/>
              <w:snapToGrid w:val="0"/>
              <w:spacing w:after="0" w:line="240" w:lineRule="auto"/>
              <w:jc w:val="center"/>
              <w:rPr>
                <w:rFonts w:ascii="Arial" w:hAnsi="Arial" w:cs="Arial"/>
                <w:color w:val="000000"/>
                <w:sz w:val="20"/>
                <w:szCs w:val="20"/>
              </w:rPr>
            </w:pPr>
            <w:r w:rsidRPr="00931DA0">
              <w:rPr>
                <w:rFonts w:ascii="Arial" w:hAnsi="Arial" w:cs="Arial"/>
                <w:b/>
                <w:bCs/>
                <w:color w:val="000000"/>
                <w:sz w:val="20"/>
                <w:szCs w:val="20"/>
              </w:rPr>
              <w:t>QUỐC HỘI</w:t>
            </w:r>
            <w:r w:rsidRPr="00931DA0">
              <w:rPr>
                <w:rFonts w:ascii="Arial" w:hAnsi="Arial" w:cs="Arial"/>
                <w:b/>
                <w:bCs/>
                <w:color w:val="000000"/>
                <w:sz w:val="20"/>
                <w:szCs w:val="20"/>
              </w:rPr>
              <w:br/>
            </w:r>
            <w:r w:rsidRPr="00931DA0">
              <w:rPr>
                <w:rFonts w:ascii="Arial" w:hAnsi="Arial" w:cs="Arial"/>
                <w:bCs/>
                <w:color w:val="000000"/>
                <w:sz w:val="20"/>
                <w:szCs w:val="20"/>
                <w:vertAlign w:val="superscript"/>
              </w:rPr>
              <w:t>__________</w:t>
            </w:r>
          </w:p>
          <w:p w14:paraId="31F7158F" w14:textId="0F52354A" w:rsidR="002E383F" w:rsidRPr="00931DA0" w:rsidRDefault="002E383F" w:rsidP="00931DA0">
            <w:pPr>
              <w:adjustRightInd w:val="0"/>
              <w:snapToGrid w:val="0"/>
              <w:spacing w:after="0" w:line="240" w:lineRule="auto"/>
              <w:jc w:val="center"/>
              <w:rPr>
                <w:rFonts w:ascii="Arial" w:hAnsi="Arial" w:cs="Arial"/>
                <w:color w:val="000000"/>
                <w:sz w:val="20"/>
                <w:szCs w:val="20"/>
              </w:rPr>
            </w:pPr>
            <w:r w:rsidRPr="00931DA0">
              <w:rPr>
                <w:rFonts w:ascii="Arial" w:hAnsi="Arial" w:cs="Arial"/>
                <w:color w:val="000000"/>
                <w:sz w:val="20"/>
                <w:szCs w:val="20"/>
              </w:rPr>
              <w:t>N</w:t>
            </w:r>
            <w:r w:rsidRPr="00931DA0">
              <w:rPr>
                <w:rFonts w:ascii="Arial" w:hAnsi="Arial" w:cs="Arial"/>
                <w:sz w:val="20"/>
                <w:szCs w:val="20"/>
              </w:rPr>
              <w:t>ghị quyết</w:t>
            </w:r>
            <w:r w:rsidRPr="00931DA0">
              <w:rPr>
                <w:rFonts w:ascii="Arial" w:hAnsi="Arial" w:cs="Arial"/>
                <w:color w:val="000000"/>
                <w:sz w:val="20"/>
                <w:szCs w:val="20"/>
              </w:rPr>
              <w:t xml:space="preserve"> số: </w:t>
            </w:r>
            <w:r w:rsidRPr="00931DA0">
              <w:rPr>
                <w:rFonts w:ascii="Arial" w:hAnsi="Arial" w:cs="Arial"/>
                <w:sz w:val="20"/>
                <w:szCs w:val="20"/>
              </w:rPr>
              <w:t>44/2026/QH16</w:t>
            </w:r>
          </w:p>
        </w:tc>
        <w:tc>
          <w:tcPr>
            <w:tcW w:w="3200" w:type="pct"/>
            <w:tcMar>
              <w:top w:w="0" w:type="dxa"/>
              <w:left w:w="108" w:type="dxa"/>
              <w:bottom w:w="0" w:type="dxa"/>
              <w:right w:w="108" w:type="dxa"/>
            </w:tcMar>
          </w:tcPr>
          <w:p w14:paraId="6F02C9EA" w14:textId="77777777" w:rsidR="002E383F" w:rsidRPr="00931DA0" w:rsidRDefault="002E383F" w:rsidP="00931DA0">
            <w:pPr>
              <w:adjustRightInd w:val="0"/>
              <w:snapToGrid w:val="0"/>
              <w:spacing w:after="0" w:line="240" w:lineRule="auto"/>
              <w:jc w:val="center"/>
              <w:rPr>
                <w:rFonts w:ascii="Arial" w:hAnsi="Arial" w:cs="Arial"/>
                <w:color w:val="000000"/>
                <w:sz w:val="20"/>
                <w:szCs w:val="20"/>
                <w:vertAlign w:val="superscript"/>
              </w:rPr>
            </w:pPr>
            <w:r w:rsidRPr="00931DA0">
              <w:rPr>
                <w:rFonts w:ascii="Arial" w:hAnsi="Arial" w:cs="Arial"/>
                <w:b/>
                <w:bCs/>
                <w:color w:val="000000"/>
                <w:sz w:val="20"/>
                <w:szCs w:val="20"/>
              </w:rPr>
              <w:t>CỘNG HÒA XÃ HỘI CHỦ NGHĨA VIỆT NAM</w:t>
            </w:r>
            <w:r w:rsidRPr="00931DA0">
              <w:rPr>
                <w:rFonts w:ascii="Arial" w:hAnsi="Arial" w:cs="Arial"/>
                <w:b/>
                <w:bCs/>
                <w:color w:val="000000"/>
                <w:sz w:val="20"/>
                <w:szCs w:val="20"/>
              </w:rPr>
              <w:br/>
              <w:t xml:space="preserve">Độc lập - Tự do - Hạnh phúc </w:t>
            </w:r>
            <w:r w:rsidRPr="00931DA0">
              <w:rPr>
                <w:rFonts w:ascii="Arial" w:hAnsi="Arial" w:cs="Arial"/>
                <w:b/>
                <w:bCs/>
                <w:color w:val="000000"/>
                <w:sz w:val="20"/>
                <w:szCs w:val="20"/>
              </w:rPr>
              <w:br/>
            </w:r>
            <w:r w:rsidRPr="00931DA0">
              <w:rPr>
                <w:rFonts w:ascii="Arial" w:hAnsi="Arial" w:cs="Arial"/>
                <w:bCs/>
                <w:color w:val="000000"/>
                <w:sz w:val="20"/>
                <w:szCs w:val="20"/>
                <w:vertAlign w:val="superscript"/>
              </w:rPr>
              <w:t>______________________</w:t>
            </w:r>
          </w:p>
        </w:tc>
      </w:tr>
    </w:tbl>
    <w:p w14:paraId="5128EB04" w14:textId="77777777" w:rsidR="002E383F" w:rsidRPr="00931DA0" w:rsidRDefault="002E383F" w:rsidP="00931DA0">
      <w:pPr>
        <w:adjustRightInd w:val="0"/>
        <w:snapToGrid w:val="0"/>
        <w:spacing w:after="0" w:line="240" w:lineRule="auto"/>
        <w:jc w:val="center"/>
        <w:rPr>
          <w:rFonts w:ascii="Arial" w:hAnsi="Arial" w:cs="Arial"/>
          <w:noProof/>
          <w:sz w:val="20"/>
          <w:szCs w:val="20"/>
        </w:rPr>
      </w:pPr>
    </w:p>
    <w:p w14:paraId="14A9C5E2" w14:textId="77777777" w:rsidR="00931DA0" w:rsidRPr="00931DA0" w:rsidRDefault="00931DA0" w:rsidP="00931DA0">
      <w:pPr>
        <w:adjustRightInd w:val="0"/>
        <w:snapToGrid w:val="0"/>
        <w:spacing w:after="0" w:line="240" w:lineRule="auto"/>
        <w:jc w:val="center"/>
        <w:rPr>
          <w:rFonts w:ascii="Arial" w:hAnsi="Arial" w:cs="Arial"/>
          <w:noProof/>
          <w:sz w:val="20"/>
          <w:szCs w:val="20"/>
        </w:rPr>
      </w:pPr>
    </w:p>
    <w:p w14:paraId="0177DE55" w14:textId="77777777" w:rsidR="00C77BA1" w:rsidRPr="00931DA0" w:rsidRDefault="00000000" w:rsidP="00931DA0">
      <w:pPr>
        <w:adjustRightInd w:val="0"/>
        <w:snapToGrid w:val="0"/>
        <w:spacing w:after="0" w:line="240" w:lineRule="auto"/>
        <w:jc w:val="center"/>
        <w:rPr>
          <w:rFonts w:ascii="Arial" w:hAnsi="Arial" w:cs="Arial"/>
          <w:sz w:val="20"/>
          <w:szCs w:val="20"/>
        </w:rPr>
      </w:pPr>
      <w:r w:rsidRPr="00931DA0">
        <w:rPr>
          <w:rFonts w:ascii="Arial" w:hAnsi="Arial" w:cs="Arial"/>
          <w:b/>
          <w:sz w:val="20"/>
          <w:szCs w:val="20"/>
        </w:rPr>
        <w:t>NGHỊ QUYẾT</w:t>
      </w:r>
    </w:p>
    <w:p w14:paraId="6E9917DA" w14:textId="12746EE9" w:rsidR="00C77BA1" w:rsidRPr="00931DA0" w:rsidRDefault="00931DA0" w:rsidP="00931DA0">
      <w:pPr>
        <w:adjustRightInd w:val="0"/>
        <w:snapToGrid w:val="0"/>
        <w:spacing w:after="0" w:line="240" w:lineRule="auto"/>
        <w:jc w:val="center"/>
        <w:rPr>
          <w:rFonts w:ascii="Arial" w:hAnsi="Arial" w:cs="Arial"/>
          <w:b/>
          <w:sz w:val="20"/>
          <w:szCs w:val="20"/>
        </w:rPr>
      </w:pPr>
      <w:r w:rsidRPr="00931DA0">
        <w:rPr>
          <w:rFonts w:ascii="Arial" w:hAnsi="Arial" w:cs="Arial"/>
          <w:b/>
          <w:sz w:val="20"/>
          <w:szCs w:val="20"/>
        </w:rPr>
        <w:t>Về việc tách Dự án điện hạt nhân Ninh Thuận thành các dự án độc lập</w:t>
      </w:r>
    </w:p>
    <w:p w14:paraId="6BD42A7B" w14:textId="77777777" w:rsidR="00931DA0" w:rsidRPr="00931DA0" w:rsidRDefault="00931DA0" w:rsidP="00931DA0">
      <w:pPr>
        <w:adjustRightInd w:val="0"/>
        <w:snapToGrid w:val="0"/>
        <w:spacing w:after="0" w:line="240" w:lineRule="auto"/>
        <w:jc w:val="center"/>
        <w:rPr>
          <w:rFonts w:ascii="Arial" w:hAnsi="Arial" w:cs="Arial"/>
          <w:sz w:val="20"/>
          <w:szCs w:val="20"/>
        </w:rPr>
      </w:pPr>
    </w:p>
    <w:p w14:paraId="0234F026" w14:textId="77777777" w:rsidR="00C77BA1" w:rsidRPr="00931DA0" w:rsidRDefault="00000000" w:rsidP="00931DA0">
      <w:pPr>
        <w:adjustRightInd w:val="0"/>
        <w:snapToGrid w:val="0"/>
        <w:spacing w:after="0" w:line="240" w:lineRule="auto"/>
        <w:jc w:val="center"/>
        <w:rPr>
          <w:rFonts w:ascii="Arial" w:hAnsi="Arial" w:cs="Arial"/>
          <w:b/>
          <w:sz w:val="20"/>
          <w:szCs w:val="20"/>
        </w:rPr>
      </w:pPr>
      <w:r w:rsidRPr="00931DA0">
        <w:rPr>
          <w:rFonts w:ascii="Arial" w:hAnsi="Arial" w:cs="Arial"/>
          <w:b/>
          <w:sz w:val="20"/>
          <w:szCs w:val="20"/>
        </w:rPr>
        <w:t>QUỐC HỘI</w:t>
      </w:r>
    </w:p>
    <w:p w14:paraId="73681A4C" w14:textId="77777777" w:rsidR="00931DA0" w:rsidRPr="00931DA0" w:rsidRDefault="00931DA0" w:rsidP="00931DA0">
      <w:pPr>
        <w:adjustRightInd w:val="0"/>
        <w:snapToGrid w:val="0"/>
        <w:spacing w:after="0" w:line="240" w:lineRule="auto"/>
        <w:jc w:val="center"/>
        <w:rPr>
          <w:rFonts w:ascii="Arial" w:hAnsi="Arial" w:cs="Arial"/>
          <w:sz w:val="20"/>
          <w:szCs w:val="20"/>
        </w:rPr>
      </w:pPr>
    </w:p>
    <w:p w14:paraId="43ED9AAD" w14:textId="77777777" w:rsidR="00C77BA1" w:rsidRPr="00931DA0" w:rsidRDefault="00000000" w:rsidP="00931DA0">
      <w:pPr>
        <w:adjustRightInd w:val="0"/>
        <w:snapToGrid w:val="0"/>
        <w:spacing w:after="120" w:line="240" w:lineRule="auto"/>
        <w:ind w:firstLine="720"/>
        <w:jc w:val="both"/>
        <w:rPr>
          <w:rFonts w:ascii="Arial" w:hAnsi="Arial" w:cs="Arial"/>
          <w:sz w:val="20"/>
          <w:szCs w:val="20"/>
        </w:rPr>
      </w:pPr>
      <w:r w:rsidRPr="00931DA0">
        <w:rPr>
          <w:rFonts w:ascii="Arial" w:hAnsi="Arial" w:cs="Arial"/>
          <w:i/>
          <w:sz w:val="20"/>
          <w:szCs w:val="20"/>
        </w:rPr>
        <w:t>Căn cứ Hiến pháp nước Cộng hòa xã hội chủ nghĩa Việt Nam đã được sửa đổi, bổ sung một số điều theo Nghị quyết số 203/2025/QH15;</w:t>
      </w:r>
    </w:p>
    <w:p w14:paraId="0D53B386" w14:textId="77777777" w:rsidR="00C77BA1" w:rsidRPr="00931DA0" w:rsidRDefault="00000000" w:rsidP="00931DA0">
      <w:pPr>
        <w:adjustRightInd w:val="0"/>
        <w:snapToGrid w:val="0"/>
        <w:spacing w:after="120" w:line="240" w:lineRule="auto"/>
        <w:ind w:firstLine="720"/>
        <w:jc w:val="both"/>
        <w:rPr>
          <w:rFonts w:ascii="Arial" w:hAnsi="Arial" w:cs="Arial"/>
          <w:sz w:val="20"/>
          <w:szCs w:val="20"/>
        </w:rPr>
      </w:pPr>
      <w:r w:rsidRPr="00931DA0">
        <w:rPr>
          <w:rFonts w:ascii="Arial" w:hAnsi="Arial" w:cs="Arial"/>
          <w:i/>
          <w:sz w:val="20"/>
          <w:szCs w:val="20"/>
        </w:rPr>
        <w:t>Căn cứ Luật Tổ chức Quốc hội số 57/2014/QH13 đã được sửa đổi, bổ sung một số điều theo Luật số 65/2020/QH14 và Luật số 62/2025/QH15;</w:t>
      </w:r>
    </w:p>
    <w:p w14:paraId="5F1AC989" w14:textId="6C072833" w:rsidR="00C77BA1" w:rsidRPr="00931DA0" w:rsidRDefault="00000000" w:rsidP="00931DA0">
      <w:pPr>
        <w:adjustRightInd w:val="0"/>
        <w:snapToGrid w:val="0"/>
        <w:spacing w:after="0" w:line="240" w:lineRule="auto"/>
        <w:ind w:firstLine="720"/>
        <w:jc w:val="both"/>
        <w:rPr>
          <w:rFonts w:ascii="Arial" w:hAnsi="Arial" w:cs="Arial"/>
          <w:i/>
          <w:sz w:val="20"/>
          <w:szCs w:val="20"/>
        </w:rPr>
      </w:pPr>
      <w:r w:rsidRPr="00931DA0">
        <w:rPr>
          <w:rFonts w:ascii="Arial" w:hAnsi="Arial" w:cs="Arial"/>
          <w:i/>
          <w:sz w:val="20"/>
          <w:szCs w:val="20"/>
        </w:rPr>
        <w:t xml:space="preserve">Sau khi xem xét Tờ trình số 550/TTr-CP ngày 14 tháng 8 năm 2026 của Chính phủ, Báo cáo thẩm tra số 636/BC-UBKHCNMT16 ngày 20 tháng 8 năm 2026 của </w:t>
      </w:r>
      <w:r w:rsidR="00931DA0" w:rsidRPr="00931DA0">
        <w:rPr>
          <w:rFonts w:ascii="Arial" w:hAnsi="Arial" w:cs="Arial"/>
          <w:i/>
          <w:sz w:val="20"/>
          <w:szCs w:val="20"/>
        </w:rPr>
        <w:t>Ủy ban</w:t>
      </w:r>
      <w:r w:rsidRPr="00931DA0">
        <w:rPr>
          <w:rFonts w:ascii="Arial" w:hAnsi="Arial" w:cs="Arial"/>
          <w:i/>
          <w:sz w:val="20"/>
          <w:szCs w:val="20"/>
        </w:rPr>
        <w:t xml:space="preserve"> Khoa học, Công nghệ và Môi trường của Quốc hội và ý kiến của các vị đại biểu Quốc hội,</w:t>
      </w:r>
    </w:p>
    <w:p w14:paraId="426DC73F" w14:textId="77777777" w:rsidR="00931DA0" w:rsidRPr="00931DA0" w:rsidRDefault="00931DA0" w:rsidP="00931DA0">
      <w:pPr>
        <w:adjustRightInd w:val="0"/>
        <w:snapToGrid w:val="0"/>
        <w:spacing w:after="0" w:line="240" w:lineRule="auto"/>
        <w:ind w:firstLine="720"/>
        <w:jc w:val="both"/>
        <w:rPr>
          <w:rFonts w:ascii="Arial" w:hAnsi="Arial" w:cs="Arial"/>
          <w:sz w:val="20"/>
          <w:szCs w:val="20"/>
        </w:rPr>
      </w:pPr>
    </w:p>
    <w:p w14:paraId="21B26CE8" w14:textId="77777777" w:rsidR="00C77BA1" w:rsidRPr="00931DA0" w:rsidRDefault="00000000" w:rsidP="00931DA0">
      <w:pPr>
        <w:adjustRightInd w:val="0"/>
        <w:snapToGrid w:val="0"/>
        <w:spacing w:after="0" w:line="240" w:lineRule="auto"/>
        <w:jc w:val="center"/>
        <w:rPr>
          <w:rFonts w:ascii="Arial" w:hAnsi="Arial" w:cs="Arial"/>
          <w:b/>
          <w:sz w:val="20"/>
          <w:szCs w:val="20"/>
        </w:rPr>
      </w:pPr>
      <w:r w:rsidRPr="00931DA0">
        <w:rPr>
          <w:rFonts w:ascii="Arial" w:hAnsi="Arial" w:cs="Arial"/>
          <w:b/>
          <w:sz w:val="20"/>
          <w:szCs w:val="20"/>
        </w:rPr>
        <w:t>QUYẾT NGHỊ:</w:t>
      </w:r>
    </w:p>
    <w:p w14:paraId="6E84F04D" w14:textId="77777777" w:rsidR="00931DA0" w:rsidRPr="00931DA0" w:rsidRDefault="00931DA0" w:rsidP="00931DA0">
      <w:pPr>
        <w:adjustRightInd w:val="0"/>
        <w:snapToGrid w:val="0"/>
        <w:spacing w:after="0" w:line="240" w:lineRule="auto"/>
        <w:jc w:val="both"/>
        <w:rPr>
          <w:rFonts w:ascii="Arial" w:hAnsi="Arial" w:cs="Arial"/>
          <w:sz w:val="20"/>
          <w:szCs w:val="20"/>
        </w:rPr>
      </w:pPr>
    </w:p>
    <w:p w14:paraId="5508B57B" w14:textId="77777777" w:rsidR="00C77BA1" w:rsidRPr="00931DA0" w:rsidRDefault="00000000" w:rsidP="00931DA0">
      <w:pPr>
        <w:adjustRightInd w:val="0"/>
        <w:snapToGrid w:val="0"/>
        <w:spacing w:after="120" w:line="240" w:lineRule="auto"/>
        <w:jc w:val="both"/>
        <w:rPr>
          <w:rFonts w:ascii="Arial" w:hAnsi="Arial" w:cs="Arial"/>
          <w:sz w:val="20"/>
          <w:szCs w:val="20"/>
        </w:rPr>
      </w:pPr>
      <w:r w:rsidRPr="00931DA0">
        <w:rPr>
          <w:rFonts w:ascii="Arial" w:hAnsi="Arial" w:cs="Arial"/>
          <w:b/>
          <w:sz w:val="20"/>
          <w:szCs w:val="20"/>
        </w:rPr>
        <w:t>Điều 1. Tách Dự án điện hạt nhân Ninh Thuận thành 03 dự án độc lập</w:t>
      </w:r>
    </w:p>
    <w:p w14:paraId="4A27082C" w14:textId="77777777" w:rsidR="00C77BA1" w:rsidRPr="00931DA0" w:rsidRDefault="00000000" w:rsidP="00931DA0">
      <w:pPr>
        <w:adjustRightInd w:val="0"/>
        <w:snapToGrid w:val="0"/>
        <w:spacing w:after="120" w:line="240" w:lineRule="auto"/>
        <w:jc w:val="both"/>
        <w:rPr>
          <w:rFonts w:ascii="Arial" w:hAnsi="Arial" w:cs="Arial"/>
          <w:sz w:val="20"/>
          <w:szCs w:val="20"/>
        </w:rPr>
      </w:pPr>
      <w:r w:rsidRPr="00931DA0">
        <w:rPr>
          <w:rFonts w:ascii="Arial" w:hAnsi="Arial" w:cs="Arial"/>
          <w:sz w:val="20"/>
          <w:szCs w:val="20"/>
        </w:rPr>
        <w:t>1. Tách Dự án điện hạt nhân Ninh Thuận đã được Quốc hội quyết định chủ trương đầu tư tại Nghị quyết số 41/2009/QH12 ngày 25 tháng 11 năm 2009 của Quốc hội về chủ trương đầu tư Dự án điện hạt nhân Ninh Thuận thành 03 dự án độc lập, bao gồm:</w:t>
      </w:r>
    </w:p>
    <w:p w14:paraId="56716DAE" w14:textId="77777777" w:rsidR="00C77BA1" w:rsidRPr="00931DA0" w:rsidRDefault="00000000" w:rsidP="00931DA0">
      <w:pPr>
        <w:adjustRightInd w:val="0"/>
        <w:snapToGrid w:val="0"/>
        <w:spacing w:after="120" w:line="240" w:lineRule="auto"/>
        <w:jc w:val="both"/>
        <w:rPr>
          <w:rFonts w:ascii="Arial" w:hAnsi="Arial" w:cs="Arial"/>
          <w:sz w:val="20"/>
          <w:szCs w:val="20"/>
        </w:rPr>
      </w:pPr>
      <w:r w:rsidRPr="00931DA0">
        <w:rPr>
          <w:rFonts w:ascii="Arial" w:hAnsi="Arial" w:cs="Arial"/>
          <w:sz w:val="20"/>
          <w:szCs w:val="20"/>
        </w:rPr>
        <w:t>a) Dự án điện hạt nhân Ninh Thuận 1 (bao gồm: Dự án Nhà máy điện hạt nhân Ninh Thuận 1 và các dự án thành phần khác);</w:t>
      </w:r>
    </w:p>
    <w:p w14:paraId="5889830D" w14:textId="77777777" w:rsidR="00C77BA1" w:rsidRPr="00931DA0" w:rsidRDefault="00000000" w:rsidP="00931DA0">
      <w:pPr>
        <w:adjustRightInd w:val="0"/>
        <w:snapToGrid w:val="0"/>
        <w:spacing w:after="120" w:line="240" w:lineRule="auto"/>
        <w:jc w:val="both"/>
        <w:rPr>
          <w:rFonts w:ascii="Arial" w:hAnsi="Arial" w:cs="Arial"/>
          <w:sz w:val="20"/>
          <w:szCs w:val="20"/>
        </w:rPr>
      </w:pPr>
      <w:r w:rsidRPr="00931DA0">
        <w:rPr>
          <w:rFonts w:ascii="Arial" w:hAnsi="Arial" w:cs="Arial"/>
          <w:sz w:val="20"/>
          <w:szCs w:val="20"/>
        </w:rPr>
        <w:t>b) Dự án điện hạt nhân Ninh Thuận 2 (bao gồm: Dự án Nhà máy điện hạt nhân Ninh Thuận 2 và các dự án thành phần khác);</w:t>
      </w:r>
    </w:p>
    <w:p w14:paraId="2E757792" w14:textId="77777777" w:rsidR="00C77BA1" w:rsidRPr="00931DA0" w:rsidRDefault="00000000" w:rsidP="00931DA0">
      <w:pPr>
        <w:adjustRightInd w:val="0"/>
        <w:snapToGrid w:val="0"/>
        <w:spacing w:after="120" w:line="240" w:lineRule="auto"/>
        <w:jc w:val="both"/>
        <w:rPr>
          <w:rFonts w:ascii="Arial" w:hAnsi="Arial" w:cs="Arial"/>
          <w:sz w:val="20"/>
          <w:szCs w:val="20"/>
        </w:rPr>
      </w:pPr>
      <w:r w:rsidRPr="00931DA0">
        <w:rPr>
          <w:rFonts w:ascii="Arial" w:hAnsi="Arial" w:cs="Arial"/>
          <w:sz w:val="20"/>
          <w:szCs w:val="20"/>
        </w:rPr>
        <w:t>c) Dự án bồi thường, hỗ trợ, tái định cư để thực hiện Dự án Nhà máy điện hạt nhân Ninh Thuận 1 và Dự án Nhà máy điện hạt nhân Ninh Thuận 2.</w:t>
      </w:r>
    </w:p>
    <w:p w14:paraId="6B78DA74" w14:textId="77777777" w:rsidR="00C77BA1" w:rsidRPr="00931DA0" w:rsidRDefault="00000000" w:rsidP="00931DA0">
      <w:pPr>
        <w:adjustRightInd w:val="0"/>
        <w:snapToGrid w:val="0"/>
        <w:spacing w:after="120" w:line="240" w:lineRule="auto"/>
        <w:jc w:val="both"/>
        <w:rPr>
          <w:rFonts w:ascii="Arial" w:hAnsi="Arial" w:cs="Arial"/>
          <w:sz w:val="20"/>
          <w:szCs w:val="20"/>
        </w:rPr>
      </w:pPr>
      <w:r w:rsidRPr="00931DA0">
        <w:rPr>
          <w:rFonts w:ascii="Arial" w:hAnsi="Arial" w:cs="Arial"/>
          <w:sz w:val="20"/>
          <w:szCs w:val="20"/>
        </w:rPr>
        <w:t>2. Các dự án sau khi được tách độc lập, cơ quan chủ quản, chủ đầu tư các dự án được sử dụng dữ liệu, kết quả công việc có liên quan đã thực hiện trước đây để tiếp tục triển khai thực hiện phù hợp với quy định của pháp luật.</w:t>
      </w:r>
    </w:p>
    <w:p w14:paraId="166179BF" w14:textId="77777777" w:rsidR="00C77BA1" w:rsidRPr="00931DA0" w:rsidRDefault="00000000" w:rsidP="00931DA0">
      <w:pPr>
        <w:adjustRightInd w:val="0"/>
        <w:snapToGrid w:val="0"/>
        <w:spacing w:after="120" w:line="240" w:lineRule="auto"/>
        <w:jc w:val="both"/>
        <w:rPr>
          <w:rFonts w:ascii="Arial" w:hAnsi="Arial" w:cs="Arial"/>
          <w:sz w:val="20"/>
          <w:szCs w:val="20"/>
        </w:rPr>
      </w:pPr>
      <w:r w:rsidRPr="00931DA0">
        <w:rPr>
          <w:rFonts w:ascii="Arial" w:hAnsi="Arial" w:cs="Arial"/>
          <w:sz w:val="20"/>
          <w:szCs w:val="20"/>
        </w:rPr>
        <w:t>3. Việc lập, thẩm định, phê duyệt chủ trương đầu tư, quyết định đầu tư, tổ chức triển khai thực hiện Dự án điện hạt nhân Ninh Thuận 1 và Dự án điện hạt nhân Ninh Thuận 2 được thực hiện theo quy định của pháp luật hiện hành, tương ứng với hình thức đầu tư, nguồn vốn phù hợp của từng dự án.</w:t>
      </w:r>
    </w:p>
    <w:p w14:paraId="3488538D" w14:textId="77777777" w:rsidR="00C77BA1" w:rsidRPr="00931DA0" w:rsidRDefault="00000000" w:rsidP="00931DA0">
      <w:pPr>
        <w:adjustRightInd w:val="0"/>
        <w:snapToGrid w:val="0"/>
        <w:spacing w:after="120" w:line="240" w:lineRule="auto"/>
        <w:jc w:val="both"/>
        <w:rPr>
          <w:rFonts w:ascii="Arial" w:hAnsi="Arial" w:cs="Arial"/>
          <w:sz w:val="20"/>
          <w:szCs w:val="20"/>
        </w:rPr>
      </w:pPr>
      <w:r w:rsidRPr="00931DA0">
        <w:rPr>
          <w:rFonts w:ascii="Arial" w:hAnsi="Arial" w:cs="Arial"/>
          <w:sz w:val="20"/>
          <w:szCs w:val="20"/>
        </w:rPr>
        <w:t>4. Khi cấp có thẩm quyền phê duyệt chủ trương đầu tư Dự án điện hạt nhân</w:t>
      </w:r>
    </w:p>
    <w:p w14:paraId="6CFA26C8" w14:textId="77777777" w:rsidR="00C77BA1" w:rsidRPr="00931DA0" w:rsidRDefault="00000000" w:rsidP="00931DA0">
      <w:pPr>
        <w:adjustRightInd w:val="0"/>
        <w:snapToGrid w:val="0"/>
        <w:spacing w:after="120" w:line="240" w:lineRule="auto"/>
        <w:jc w:val="both"/>
        <w:rPr>
          <w:rFonts w:ascii="Arial" w:hAnsi="Arial" w:cs="Arial"/>
          <w:sz w:val="20"/>
          <w:szCs w:val="20"/>
        </w:rPr>
      </w:pPr>
      <w:r w:rsidRPr="00931DA0">
        <w:rPr>
          <w:rFonts w:ascii="Arial" w:hAnsi="Arial" w:cs="Arial"/>
          <w:sz w:val="20"/>
          <w:szCs w:val="20"/>
        </w:rPr>
        <w:t>Ninh Thuận 1, Chính phủ báo cáo Quốc hội về việc chấm dứt hiệu lực của Nghị quyết số 41/2009/QH12 ngày 25 tháng 11 năm 2009 của Quốc hội về chủ trương đầu tư Dự án điện hạt nhân Ninh Thuận.</w:t>
      </w:r>
    </w:p>
    <w:p w14:paraId="53AEA956" w14:textId="77777777" w:rsidR="00C77BA1" w:rsidRPr="00931DA0" w:rsidRDefault="00000000" w:rsidP="00931DA0">
      <w:pPr>
        <w:adjustRightInd w:val="0"/>
        <w:snapToGrid w:val="0"/>
        <w:spacing w:after="120" w:line="240" w:lineRule="auto"/>
        <w:jc w:val="both"/>
        <w:rPr>
          <w:rFonts w:ascii="Arial" w:hAnsi="Arial" w:cs="Arial"/>
          <w:sz w:val="20"/>
          <w:szCs w:val="20"/>
        </w:rPr>
      </w:pPr>
      <w:r w:rsidRPr="00931DA0">
        <w:rPr>
          <w:rFonts w:ascii="Arial" w:hAnsi="Arial" w:cs="Arial"/>
          <w:sz w:val="20"/>
          <w:szCs w:val="20"/>
        </w:rPr>
        <w:t>5. Dự án bồi thường, hỗ trợ, tái định cư để thực hiện Dự án Nhà máy điện hạt nhân Ninh Thuận 1 và Dự án Nhà máy điện hạt nhân Ninh Thuận 2 tiếp tục triển khai theo các nội dung đã được phê duyệt, cụ thể như sau:</w:t>
      </w:r>
    </w:p>
    <w:p w14:paraId="6EA32A9F" w14:textId="23B4F5AB" w:rsidR="00C77BA1" w:rsidRPr="00931DA0" w:rsidRDefault="00000000" w:rsidP="00931DA0">
      <w:pPr>
        <w:adjustRightInd w:val="0"/>
        <w:snapToGrid w:val="0"/>
        <w:spacing w:after="120" w:line="240" w:lineRule="auto"/>
        <w:jc w:val="both"/>
        <w:rPr>
          <w:rFonts w:ascii="Arial" w:hAnsi="Arial" w:cs="Arial"/>
          <w:sz w:val="20"/>
          <w:szCs w:val="20"/>
        </w:rPr>
      </w:pPr>
      <w:r w:rsidRPr="00931DA0">
        <w:rPr>
          <w:rFonts w:ascii="Arial" w:hAnsi="Arial" w:cs="Arial"/>
          <w:sz w:val="20"/>
          <w:szCs w:val="20"/>
        </w:rPr>
        <w:t xml:space="preserve">a) Giao </w:t>
      </w:r>
      <w:r w:rsidR="00931DA0" w:rsidRPr="00931DA0">
        <w:rPr>
          <w:rFonts w:ascii="Arial" w:hAnsi="Arial" w:cs="Arial"/>
          <w:sz w:val="20"/>
          <w:szCs w:val="20"/>
        </w:rPr>
        <w:t>Ủy ban</w:t>
      </w:r>
      <w:r w:rsidRPr="00931DA0">
        <w:rPr>
          <w:rFonts w:ascii="Arial" w:hAnsi="Arial" w:cs="Arial"/>
          <w:sz w:val="20"/>
          <w:szCs w:val="20"/>
        </w:rPr>
        <w:t xml:space="preserve"> nhân dân tỉnh Khánh Hòa làm cơ quan chủ quản Dự án. Giao Chủ tịch </w:t>
      </w:r>
      <w:r w:rsidR="00931DA0" w:rsidRPr="00931DA0">
        <w:rPr>
          <w:rFonts w:ascii="Arial" w:hAnsi="Arial" w:cs="Arial"/>
          <w:sz w:val="20"/>
          <w:szCs w:val="20"/>
        </w:rPr>
        <w:t>Ủy ban</w:t>
      </w:r>
      <w:r w:rsidRPr="00931DA0">
        <w:rPr>
          <w:rFonts w:ascii="Arial" w:hAnsi="Arial" w:cs="Arial"/>
          <w:sz w:val="20"/>
          <w:szCs w:val="20"/>
        </w:rPr>
        <w:t xml:space="preserve"> nhân dân tỉnh Khánh Hòa quyết định đầu tư, quyết định điều chỉnh Dự án và việc phân chia Dự án thành các dự án thành phần theo quy định của pháp luật, không phải thực hiện quyết định chủ trương đầu tư;</w:t>
      </w:r>
    </w:p>
    <w:p w14:paraId="04A70290" w14:textId="4D101E89" w:rsidR="00C77BA1" w:rsidRPr="00931DA0" w:rsidRDefault="00000000" w:rsidP="00931DA0">
      <w:pPr>
        <w:adjustRightInd w:val="0"/>
        <w:snapToGrid w:val="0"/>
        <w:spacing w:after="120" w:line="240" w:lineRule="auto"/>
        <w:jc w:val="both"/>
        <w:rPr>
          <w:rFonts w:ascii="Arial" w:hAnsi="Arial" w:cs="Arial"/>
          <w:sz w:val="20"/>
          <w:szCs w:val="20"/>
        </w:rPr>
      </w:pPr>
      <w:r w:rsidRPr="00931DA0">
        <w:rPr>
          <w:rFonts w:ascii="Arial" w:hAnsi="Arial" w:cs="Arial"/>
          <w:sz w:val="20"/>
          <w:szCs w:val="20"/>
        </w:rPr>
        <w:t xml:space="preserve">b) Trong thời gian chờ bố trí tái định cư, </w:t>
      </w:r>
      <w:r w:rsidR="00931DA0" w:rsidRPr="00931DA0">
        <w:rPr>
          <w:rFonts w:ascii="Arial" w:hAnsi="Arial" w:cs="Arial"/>
          <w:sz w:val="20"/>
          <w:szCs w:val="20"/>
        </w:rPr>
        <w:t>Ủy ban</w:t>
      </w:r>
      <w:r w:rsidRPr="00931DA0">
        <w:rPr>
          <w:rFonts w:ascii="Arial" w:hAnsi="Arial" w:cs="Arial"/>
          <w:sz w:val="20"/>
          <w:szCs w:val="20"/>
        </w:rPr>
        <w:t xml:space="preserve"> nhân dân tỉnh Khánh Hòa được phép bố trí nhà ở tạm hoặc hỗ trợ tiền thuê nhà ở cho người có đất ở bị thu hồi để phục vụ Dự án. Thời gian và mức hỗ trợ cụ thể do </w:t>
      </w:r>
      <w:r w:rsidR="00931DA0" w:rsidRPr="00931DA0">
        <w:rPr>
          <w:rFonts w:ascii="Arial" w:hAnsi="Arial" w:cs="Arial"/>
          <w:sz w:val="20"/>
          <w:szCs w:val="20"/>
        </w:rPr>
        <w:t>Ủy ban</w:t>
      </w:r>
      <w:r w:rsidRPr="00931DA0">
        <w:rPr>
          <w:rFonts w:ascii="Arial" w:hAnsi="Arial" w:cs="Arial"/>
          <w:sz w:val="20"/>
          <w:szCs w:val="20"/>
        </w:rPr>
        <w:t xml:space="preserve"> nhân dân tỉnh Khánh Hòa quy định, bảo đảm công khai, minh bạch và phù hợp với điều kiện thực tế tại địa phương;</w:t>
      </w:r>
    </w:p>
    <w:p w14:paraId="1619F7E7" w14:textId="77777777" w:rsidR="00C77BA1" w:rsidRPr="00931DA0" w:rsidRDefault="00000000" w:rsidP="00931DA0">
      <w:pPr>
        <w:adjustRightInd w:val="0"/>
        <w:snapToGrid w:val="0"/>
        <w:spacing w:after="120" w:line="240" w:lineRule="auto"/>
        <w:jc w:val="both"/>
        <w:rPr>
          <w:rFonts w:ascii="Arial" w:hAnsi="Arial" w:cs="Arial"/>
          <w:sz w:val="20"/>
          <w:szCs w:val="20"/>
        </w:rPr>
      </w:pPr>
      <w:r w:rsidRPr="00931DA0">
        <w:rPr>
          <w:rFonts w:ascii="Arial" w:hAnsi="Arial" w:cs="Arial"/>
          <w:sz w:val="20"/>
          <w:szCs w:val="20"/>
        </w:rPr>
        <w:t>c) Áp dụng hình thức chỉ định thầu theo quy trình rút gọn đối với các gói thầu tư vấn, phi tư vấn để thực hiện Dự án theo quy định của pháp luật về đấu thầu;</w:t>
      </w:r>
    </w:p>
    <w:p w14:paraId="7D48051F" w14:textId="77777777" w:rsidR="00C77BA1" w:rsidRPr="00931DA0" w:rsidRDefault="00000000" w:rsidP="00931DA0">
      <w:pPr>
        <w:adjustRightInd w:val="0"/>
        <w:snapToGrid w:val="0"/>
        <w:spacing w:after="120" w:line="240" w:lineRule="auto"/>
        <w:jc w:val="both"/>
        <w:rPr>
          <w:rFonts w:ascii="Arial" w:hAnsi="Arial" w:cs="Arial"/>
          <w:sz w:val="20"/>
          <w:szCs w:val="20"/>
        </w:rPr>
      </w:pPr>
      <w:r w:rsidRPr="00931DA0">
        <w:rPr>
          <w:rFonts w:ascii="Arial" w:hAnsi="Arial" w:cs="Arial"/>
          <w:sz w:val="20"/>
          <w:szCs w:val="20"/>
        </w:rPr>
        <w:lastRenderedPageBreak/>
        <w:t>d) Việc lập, thẩm định, phê duyệt và tổ chức thực hiện phương án bồi thường, hỗ trợ, tái định cư và quyết định thu hồi đất thực hiện theo quy định của pháp luật về đất đai;</w:t>
      </w:r>
    </w:p>
    <w:p w14:paraId="4EF97CE8" w14:textId="77777777" w:rsidR="00C77BA1" w:rsidRPr="00931DA0" w:rsidRDefault="00000000" w:rsidP="00931DA0">
      <w:pPr>
        <w:adjustRightInd w:val="0"/>
        <w:snapToGrid w:val="0"/>
        <w:spacing w:after="120" w:line="240" w:lineRule="auto"/>
        <w:jc w:val="both"/>
        <w:rPr>
          <w:rFonts w:ascii="Arial" w:hAnsi="Arial" w:cs="Arial"/>
          <w:sz w:val="20"/>
          <w:szCs w:val="20"/>
        </w:rPr>
      </w:pPr>
      <w:r w:rsidRPr="00931DA0">
        <w:rPr>
          <w:rFonts w:ascii="Arial" w:hAnsi="Arial" w:cs="Arial"/>
          <w:sz w:val="20"/>
          <w:szCs w:val="20"/>
        </w:rPr>
        <w:t>đ) Nguồn vốn thực hiện Dự án là nguồn vốn ngân sách trung ương, nguồn tăng thu, tiết kiệm chi, nguồn dự phòng ngân sách trung ương hằng năm và các nguồn vốn hợp pháp khác. Kế hoạch vốn đã giao, số vốn đã bố trí, đã giải ngân trước ngày Nghị quyết này có hiệu lực tiếp tục được thực hiện, thanh toán, quyết toán theo quy định của pháp luật;</w:t>
      </w:r>
    </w:p>
    <w:p w14:paraId="5439B9DB" w14:textId="3255D5EB" w:rsidR="00C77BA1" w:rsidRPr="00931DA0" w:rsidRDefault="00000000" w:rsidP="00931DA0">
      <w:pPr>
        <w:adjustRightInd w:val="0"/>
        <w:snapToGrid w:val="0"/>
        <w:spacing w:after="120" w:line="240" w:lineRule="auto"/>
        <w:jc w:val="both"/>
        <w:rPr>
          <w:rFonts w:ascii="Arial" w:hAnsi="Arial" w:cs="Arial"/>
          <w:sz w:val="20"/>
          <w:szCs w:val="20"/>
        </w:rPr>
      </w:pPr>
      <w:r w:rsidRPr="00931DA0">
        <w:rPr>
          <w:rFonts w:ascii="Arial" w:hAnsi="Arial" w:cs="Arial"/>
          <w:sz w:val="20"/>
          <w:szCs w:val="20"/>
        </w:rPr>
        <w:t xml:space="preserve">e) Trường hợp phát sinh nội dung chưa được quy định tại Nghị quyết này hoặc có khó khăn, vướng mắc trong quá trình thực hiện, Chính phủ xem xét, quyết định theo thẩm quyền; trường hợp vượt thẩm quyền, Chính phủ báo cáo </w:t>
      </w:r>
      <w:r w:rsidR="00931DA0" w:rsidRPr="00931DA0">
        <w:rPr>
          <w:rFonts w:ascii="Arial" w:hAnsi="Arial" w:cs="Arial"/>
          <w:sz w:val="20"/>
          <w:szCs w:val="20"/>
        </w:rPr>
        <w:t>Ủy ban</w:t>
      </w:r>
      <w:r w:rsidRPr="00931DA0">
        <w:rPr>
          <w:rFonts w:ascii="Arial" w:hAnsi="Arial" w:cs="Arial"/>
          <w:sz w:val="20"/>
          <w:szCs w:val="20"/>
        </w:rPr>
        <w:t xml:space="preserve"> Thường vụ Quốc hội xem xét, quyết định trong thời gian giữa hai kỳ họp và báo cáo Quốc hội tại kỳ họp gần nhất.</w:t>
      </w:r>
    </w:p>
    <w:p w14:paraId="459BDDC6" w14:textId="6D4EC67F" w:rsidR="00C77BA1" w:rsidRPr="00931DA0" w:rsidRDefault="00000000" w:rsidP="00931DA0">
      <w:pPr>
        <w:adjustRightInd w:val="0"/>
        <w:snapToGrid w:val="0"/>
        <w:spacing w:after="120" w:line="240" w:lineRule="auto"/>
        <w:jc w:val="both"/>
        <w:rPr>
          <w:rFonts w:ascii="Arial" w:hAnsi="Arial" w:cs="Arial"/>
          <w:sz w:val="20"/>
          <w:szCs w:val="20"/>
        </w:rPr>
      </w:pPr>
      <w:r w:rsidRPr="00931DA0">
        <w:rPr>
          <w:rFonts w:ascii="Arial" w:hAnsi="Arial" w:cs="Arial"/>
          <w:sz w:val="20"/>
          <w:szCs w:val="20"/>
        </w:rPr>
        <w:t>6. Tiếp tục áp dụng các cơ chế, chính sách đặc biệt đã được ban hành theo Nghị quyết số</w:t>
      </w:r>
      <w:r w:rsidR="00B83C5D">
        <w:rPr>
          <w:rFonts w:ascii="Arial" w:hAnsi="Arial" w:cs="Arial"/>
          <w:sz w:val="20"/>
          <w:szCs w:val="20"/>
        </w:rPr>
        <w:t xml:space="preserve"> </w:t>
      </w:r>
      <w:r w:rsidRPr="00931DA0">
        <w:rPr>
          <w:rFonts w:ascii="Arial" w:hAnsi="Arial" w:cs="Arial"/>
          <w:sz w:val="20"/>
          <w:szCs w:val="20"/>
        </w:rPr>
        <w:t xml:space="preserve">189/2025/QH15 ngày 19 tháng 02 năm 2025 của Quốc hội về một số cơ chế, chính sách đặc biệt đầu tư xây dựng Dự án điện hạt nhân Ninh Thuận và Nghị quyết số 121/2026/UBTVQH15 ngày 30 tháng 3 năm 2026 của </w:t>
      </w:r>
      <w:r w:rsidR="00931DA0" w:rsidRPr="00931DA0">
        <w:rPr>
          <w:rFonts w:ascii="Arial" w:hAnsi="Arial" w:cs="Arial"/>
          <w:sz w:val="20"/>
          <w:szCs w:val="20"/>
        </w:rPr>
        <w:t>Ủy ban</w:t>
      </w:r>
      <w:r w:rsidRPr="00931DA0">
        <w:rPr>
          <w:rFonts w:ascii="Arial" w:hAnsi="Arial" w:cs="Arial"/>
          <w:sz w:val="20"/>
          <w:szCs w:val="20"/>
        </w:rPr>
        <w:t xml:space="preserve"> Thường vụ Quốc hội về bổ sung, điều chỉnh một số cơ chế, chính sách đặc biệt đầu tư xây dựng Dự án điện hạt nhân Ninh Thuận của Nghị quyết số 189/2025/QH15 cho 03 dự án độc lập được tách ra từ Dự án điện hạt nhân Ninh Thuận. Trường hợp cần thiết, Chính phủ báo cáo Quốc hội sửa đổi, bổ sung các cơ chế, chính sách đặc biệt trong quá trình lập, thẩm định, phê duyệt chủ trương đầu tư, quyết định đầu tư, tổ chức triển khai thực hiện từng dự án sau khi báo cáo và được sự đồng ý của cấp có thẩm quyền.</w:t>
      </w:r>
    </w:p>
    <w:p w14:paraId="0797DF42" w14:textId="77777777" w:rsidR="00C77BA1" w:rsidRPr="00931DA0" w:rsidRDefault="00000000" w:rsidP="00931DA0">
      <w:pPr>
        <w:adjustRightInd w:val="0"/>
        <w:snapToGrid w:val="0"/>
        <w:spacing w:after="120" w:line="240" w:lineRule="auto"/>
        <w:jc w:val="both"/>
        <w:rPr>
          <w:rFonts w:ascii="Arial" w:hAnsi="Arial" w:cs="Arial"/>
          <w:sz w:val="20"/>
          <w:szCs w:val="20"/>
        </w:rPr>
      </w:pPr>
      <w:r w:rsidRPr="00931DA0">
        <w:rPr>
          <w:rFonts w:ascii="Arial" w:hAnsi="Arial" w:cs="Arial"/>
          <w:sz w:val="20"/>
          <w:szCs w:val="20"/>
        </w:rPr>
        <w:t>7. Giao Chính phủ chỉ đạo tổ chức thực hiện các dự án độc lập sau khi tách bảo đảm tiến độ, nguồn lực thực hiện các dự án; hướng dẫn xử lý các vấn đề liên quan đến việc tách dự án (nếu có); xây dựng cơ chế quản lý, phối hợp, điều phối bảo đảm thống nhất; sử dụng hiệu quả hạ tầng kỹ thuật dùng chung; xác định rõ trách nhiệm về bảo đảm an toàn hạt nhân, an ninh hạt nhân, bảo vệ môi trường, quốc phòng, an ninh.</w:t>
      </w:r>
    </w:p>
    <w:p w14:paraId="685C90C9" w14:textId="77777777" w:rsidR="00C77BA1" w:rsidRPr="00931DA0" w:rsidRDefault="00000000" w:rsidP="00931DA0">
      <w:pPr>
        <w:adjustRightInd w:val="0"/>
        <w:snapToGrid w:val="0"/>
        <w:spacing w:after="120" w:line="240" w:lineRule="auto"/>
        <w:jc w:val="both"/>
        <w:rPr>
          <w:rFonts w:ascii="Arial" w:hAnsi="Arial" w:cs="Arial"/>
          <w:sz w:val="20"/>
          <w:szCs w:val="20"/>
        </w:rPr>
      </w:pPr>
      <w:r w:rsidRPr="00931DA0">
        <w:rPr>
          <w:rFonts w:ascii="Arial" w:hAnsi="Arial" w:cs="Arial"/>
          <w:b/>
          <w:sz w:val="20"/>
          <w:szCs w:val="20"/>
        </w:rPr>
        <w:t>Điều 2. Đối tượng áp dụng</w:t>
      </w:r>
    </w:p>
    <w:p w14:paraId="422B567F" w14:textId="77777777" w:rsidR="00C77BA1" w:rsidRPr="00931DA0" w:rsidRDefault="00000000" w:rsidP="00931DA0">
      <w:pPr>
        <w:adjustRightInd w:val="0"/>
        <w:snapToGrid w:val="0"/>
        <w:spacing w:after="120" w:line="240" w:lineRule="auto"/>
        <w:jc w:val="both"/>
        <w:rPr>
          <w:rFonts w:ascii="Arial" w:hAnsi="Arial" w:cs="Arial"/>
          <w:sz w:val="20"/>
          <w:szCs w:val="20"/>
        </w:rPr>
      </w:pPr>
      <w:r w:rsidRPr="00931DA0">
        <w:rPr>
          <w:rFonts w:ascii="Arial" w:hAnsi="Arial" w:cs="Arial"/>
          <w:sz w:val="20"/>
          <w:szCs w:val="20"/>
        </w:rPr>
        <w:t>1. Cơ quan nhà nước có liên quan, tỉnh Khánh Hòa.</w:t>
      </w:r>
    </w:p>
    <w:p w14:paraId="13A21A0F" w14:textId="77777777" w:rsidR="00C77BA1" w:rsidRPr="00931DA0" w:rsidRDefault="00000000" w:rsidP="00931DA0">
      <w:pPr>
        <w:adjustRightInd w:val="0"/>
        <w:snapToGrid w:val="0"/>
        <w:spacing w:after="120" w:line="240" w:lineRule="auto"/>
        <w:jc w:val="both"/>
        <w:rPr>
          <w:rFonts w:ascii="Arial" w:hAnsi="Arial" w:cs="Arial"/>
          <w:sz w:val="20"/>
          <w:szCs w:val="20"/>
        </w:rPr>
      </w:pPr>
      <w:r w:rsidRPr="00931DA0">
        <w:rPr>
          <w:rFonts w:ascii="Arial" w:hAnsi="Arial" w:cs="Arial"/>
          <w:sz w:val="20"/>
          <w:szCs w:val="20"/>
        </w:rPr>
        <w:t>2. Chủ đầu tư các dự án: Dự án điện hạt nhân Ninh Thuận 1; Dự án điện hạt nhân Ninh Thuận 2; Dự án bồi thường, hỗ trợ, tái định cư để thực hiện Dự án Nhà máy điện hạt nhân Ninh Thuận 1 và Dự án Nhà máy điện hạt nhân Ninh Thuận 2; các dự án thành phần và các cơ quan, đơn vị được giao nhiệm vụ chuẩn bị, thực hiện dự án.</w:t>
      </w:r>
    </w:p>
    <w:p w14:paraId="4CCE75B5" w14:textId="77777777" w:rsidR="00C77BA1" w:rsidRPr="00931DA0" w:rsidRDefault="00000000" w:rsidP="00931DA0">
      <w:pPr>
        <w:adjustRightInd w:val="0"/>
        <w:snapToGrid w:val="0"/>
        <w:spacing w:after="120" w:line="240" w:lineRule="auto"/>
        <w:jc w:val="both"/>
        <w:rPr>
          <w:rFonts w:ascii="Arial" w:hAnsi="Arial" w:cs="Arial"/>
          <w:sz w:val="20"/>
          <w:szCs w:val="20"/>
        </w:rPr>
      </w:pPr>
      <w:r w:rsidRPr="00931DA0">
        <w:rPr>
          <w:rFonts w:ascii="Arial" w:hAnsi="Arial" w:cs="Arial"/>
          <w:sz w:val="20"/>
          <w:szCs w:val="20"/>
        </w:rPr>
        <w:t>3. Các tổ chức, cá nhân khác có liên quan.</w:t>
      </w:r>
    </w:p>
    <w:p w14:paraId="27868CCD" w14:textId="77777777" w:rsidR="00C77BA1" w:rsidRPr="00931DA0" w:rsidRDefault="00000000" w:rsidP="00931DA0">
      <w:pPr>
        <w:adjustRightInd w:val="0"/>
        <w:snapToGrid w:val="0"/>
        <w:spacing w:after="120" w:line="240" w:lineRule="auto"/>
        <w:jc w:val="both"/>
        <w:rPr>
          <w:rFonts w:ascii="Arial" w:hAnsi="Arial" w:cs="Arial"/>
          <w:sz w:val="20"/>
          <w:szCs w:val="20"/>
        </w:rPr>
      </w:pPr>
      <w:r w:rsidRPr="00931DA0">
        <w:rPr>
          <w:rFonts w:ascii="Arial" w:hAnsi="Arial" w:cs="Arial"/>
          <w:b/>
          <w:sz w:val="20"/>
          <w:szCs w:val="20"/>
        </w:rPr>
        <w:t>Điều 3. Điều khoản thi hành</w:t>
      </w:r>
    </w:p>
    <w:p w14:paraId="6FD46B76" w14:textId="14E954E6" w:rsidR="00C77BA1" w:rsidRPr="00931DA0" w:rsidRDefault="00000000" w:rsidP="00931DA0">
      <w:pPr>
        <w:adjustRightInd w:val="0"/>
        <w:snapToGrid w:val="0"/>
        <w:spacing w:after="120" w:line="240" w:lineRule="auto"/>
        <w:jc w:val="both"/>
        <w:rPr>
          <w:rFonts w:ascii="Arial" w:hAnsi="Arial" w:cs="Arial"/>
          <w:sz w:val="20"/>
          <w:szCs w:val="20"/>
        </w:rPr>
      </w:pPr>
      <w:r w:rsidRPr="00931DA0">
        <w:rPr>
          <w:rFonts w:ascii="Arial" w:hAnsi="Arial" w:cs="Arial"/>
          <w:sz w:val="20"/>
          <w:szCs w:val="20"/>
        </w:rPr>
        <w:t>Nghị quyết này có hiệu lực thi hành kể từ ngày Quốc hội thông qua.</w:t>
      </w:r>
      <w:r w:rsidR="00931DA0" w:rsidRPr="00931DA0">
        <w:rPr>
          <w:rFonts w:ascii="Arial" w:hAnsi="Arial" w:cs="Arial"/>
          <w:sz w:val="20"/>
          <w:szCs w:val="20"/>
        </w:rPr>
        <w:t>/.</w:t>
      </w:r>
    </w:p>
    <w:p w14:paraId="56732FF2" w14:textId="4A72AB85" w:rsidR="00931DA0" w:rsidRPr="00931DA0" w:rsidRDefault="00931DA0" w:rsidP="00931DA0">
      <w:pPr>
        <w:adjustRightInd w:val="0"/>
        <w:snapToGrid w:val="0"/>
        <w:spacing w:after="120" w:line="240" w:lineRule="auto"/>
        <w:jc w:val="both"/>
        <w:rPr>
          <w:rFonts w:ascii="Arial" w:hAnsi="Arial" w:cs="Arial"/>
          <w:sz w:val="20"/>
          <w:szCs w:val="20"/>
        </w:rPr>
      </w:pPr>
      <w:r w:rsidRPr="00931DA0">
        <w:rPr>
          <w:rFonts w:ascii="Arial" w:hAnsi="Arial" w:cs="Arial"/>
          <w:sz w:val="20"/>
          <w:szCs w:val="20"/>
        </w:rPr>
        <w:t>_________________________________________________________________________________</w:t>
      </w:r>
    </w:p>
    <w:p w14:paraId="289F7561" w14:textId="1DEB0664" w:rsidR="00931DA0" w:rsidRPr="00931DA0" w:rsidRDefault="00931DA0" w:rsidP="00931DA0">
      <w:pPr>
        <w:adjustRightInd w:val="0"/>
        <w:snapToGrid w:val="0"/>
        <w:spacing w:after="120" w:line="240" w:lineRule="auto"/>
        <w:jc w:val="both"/>
        <w:rPr>
          <w:rFonts w:ascii="Arial" w:hAnsi="Arial" w:cs="Arial"/>
          <w:i/>
          <w:iCs/>
          <w:sz w:val="20"/>
          <w:szCs w:val="20"/>
        </w:rPr>
      </w:pPr>
      <w:r w:rsidRPr="00931DA0">
        <w:rPr>
          <w:rFonts w:ascii="Arial" w:hAnsi="Arial" w:cs="Arial"/>
          <w:i/>
          <w:iCs/>
          <w:sz w:val="20"/>
          <w:szCs w:val="20"/>
        </w:rPr>
        <w:t xml:space="preserve">Nghị quyết này được Quốc hội nước Cộng hòa xã hội chủ nghĩa Việt Nam khóa XVI, Kỳ họp không thường lệ thứ Nhất thông qua ngày 24 tháng 8 năm 2026. </w:t>
      </w:r>
    </w:p>
    <w:p w14:paraId="6CC77644" w14:textId="77777777" w:rsidR="00931DA0" w:rsidRPr="00931DA0" w:rsidRDefault="00931DA0" w:rsidP="00931DA0">
      <w:pPr>
        <w:adjustRightInd w:val="0"/>
        <w:snapToGrid w:val="0"/>
        <w:spacing w:after="120" w:line="240" w:lineRule="auto"/>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31DA0" w:rsidRPr="00931DA0" w14:paraId="401905FD" w14:textId="77777777" w:rsidTr="00382A4F">
        <w:trPr>
          <w:tblCellSpacing w:w="0" w:type="dxa"/>
        </w:trPr>
        <w:tc>
          <w:tcPr>
            <w:tcW w:w="2361" w:type="pct"/>
            <w:shd w:val="clear" w:color="auto" w:fill="FFFFFF"/>
            <w:tcMar>
              <w:top w:w="0" w:type="dxa"/>
              <w:left w:w="108" w:type="dxa"/>
              <w:bottom w:w="0" w:type="dxa"/>
              <w:right w:w="108" w:type="dxa"/>
            </w:tcMar>
            <w:hideMark/>
          </w:tcPr>
          <w:p w14:paraId="6F2EC468" w14:textId="77777777" w:rsidR="00931DA0" w:rsidRPr="00931DA0" w:rsidRDefault="00931DA0" w:rsidP="00931DA0">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57C37B8D" w14:textId="77777777" w:rsidR="00931DA0" w:rsidRPr="00931DA0" w:rsidRDefault="00931DA0" w:rsidP="00931DA0">
            <w:pPr>
              <w:adjustRightInd w:val="0"/>
              <w:snapToGrid w:val="0"/>
              <w:spacing w:after="0" w:line="240" w:lineRule="auto"/>
              <w:jc w:val="center"/>
              <w:rPr>
                <w:rFonts w:ascii="Arial" w:hAnsi="Arial" w:cs="Arial"/>
                <w:b/>
                <w:bCs/>
                <w:sz w:val="20"/>
                <w:szCs w:val="20"/>
              </w:rPr>
            </w:pPr>
            <w:r w:rsidRPr="00931DA0">
              <w:rPr>
                <w:rFonts w:ascii="Arial" w:hAnsi="Arial" w:cs="Arial"/>
                <w:b/>
                <w:bCs/>
                <w:sz w:val="20"/>
                <w:szCs w:val="20"/>
              </w:rPr>
              <w:t>CHỦ TỊCH QUỐC HỘI</w:t>
            </w:r>
          </w:p>
          <w:p w14:paraId="00364206" w14:textId="77777777" w:rsidR="00931DA0" w:rsidRPr="00931DA0" w:rsidRDefault="00931DA0" w:rsidP="00931DA0">
            <w:pPr>
              <w:adjustRightInd w:val="0"/>
              <w:snapToGrid w:val="0"/>
              <w:spacing w:after="0" w:line="240" w:lineRule="auto"/>
              <w:jc w:val="center"/>
              <w:rPr>
                <w:rFonts w:ascii="Arial" w:hAnsi="Arial" w:cs="Arial"/>
                <w:sz w:val="20"/>
                <w:szCs w:val="20"/>
              </w:rPr>
            </w:pPr>
          </w:p>
          <w:p w14:paraId="6B936C07" w14:textId="77777777" w:rsidR="00931DA0" w:rsidRPr="00931DA0" w:rsidRDefault="00931DA0" w:rsidP="00931DA0">
            <w:pPr>
              <w:adjustRightInd w:val="0"/>
              <w:snapToGrid w:val="0"/>
              <w:spacing w:after="0" w:line="240" w:lineRule="auto"/>
              <w:jc w:val="center"/>
              <w:rPr>
                <w:rFonts w:ascii="Arial" w:hAnsi="Arial" w:cs="Arial"/>
                <w:sz w:val="20"/>
                <w:szCs w:val="20"/>
              </w:rPr>
            </w:pPr>
          </w:p>
          <w:p w14:paraId="2E4D4DE5" w14:textId="77777777" w:rsidR="00931DA0" w:rsidRPr="00931DA0" w:rsidRDefault="00931DA0" w:rsidP="00931DA0">
            <w:pPr>
              <w:adjustRightInd w:val="0"/>
              <w:snapToGrid w:val="0"/>
              <w:spacing w:after="0" w:line="240" w:lineRule="auto"/>
              <w:jc w:val="center"/>
              <w:rPr>
                <w:rFonts w:ascii="Arial" w:hAnsi="Arial" w:cs="Arial"/>
                <w:sz w:val="20"/>
                <w:szCs w:val="20"/>
              </w:rPr>
            </w:pPr>
          </w:p>
          <w:p w14:paraId="593FEE0C" w14:textId="77777777" w:rsidR="00931DA0" w:rsidRPr="00931DA0" w:rsidRDefault="00931DA0" w:rsidP="00931DA0">
            <w:pPr>
              <w:adjustRightInd w:val="0"/>
              <w:snapToGrid w:val="0"/>
              <w:spacing w:after="0" w:line="240" w:lineRule="auto"/>
              <w:jc w:val="center"/>
              <w:rPr>
                <w:rFonts w:ascii="Arial" w:hAnsi="Arial" w:cs="Arial"/>
                <w:sz w:val="20"/>
                <w:szCs w:val="20"/>
              </w:rPr>
            </w:pPr>
          </w:p>
          <w:p w14:paraId="72EA2E18" w14:textId="77777777" w:rsidR="00931DA0" w:rsidRPr="00931DA0" w:rsidRDefault="00931DA0" w:rsidP="00931DA0">
            <w:pPr>
              <w:adjustRightInd w:val="0"/>
              <w:snapToGrid w:val="0"/>
              <w:spacing w:after="0" w:line="240" w:lineRule="auto"/>
              <w:jc w:val="center"/>
              <w:rPr>
                <w:rFonts w:ascii="Arial" w:hAnsi="Arial" w:cs="Arial"/>
                <w:sz w:val="20"/>
                <w:szCs w:val="20"/>
              </w:rPr>
            </w:pPr>
          </w:p>
          <w:p w14:paraId="7031C32A" w14:textId="143EC349" w:rsidR="00931DA0" w:rsidRPr="00931DA0" w:rsidRDefault="00931DA0" w:rsidP="00931DA0">
            <w:pPr>
              <w:adjustRightInd w:val="0"/>
              <w:snapToGrid w:val="0"/>
              <w:spacing w:after="0" w:line="240" w:lineRule="auto"/>
              <w:jc w:val="center"/>
              <w:rPr>
                <w:rFonts w:ascii="Arial" w:hAnsi="Arial" w:cs="Arial"/>
                <w:b/>
                <w:bCs/>
                <w:sz w:val="20"/>
                <w:szCs w:val="20"/>
              </w:rPr>
            </w:pPr>
            <w:r w:rsidRPr="00931DA0">
              <w:rPr>
                <w:rFonts w:ascii="Arial" w:hAnsi="Arial" w:cs="Arial"/>
                <w:b/>
                <w:bCs/>
                <w:sz w:val="20"/>
                <w:szCs w:val="20"/>
              </w:rPr>
              <w:t>Trần Thanh Mẫn</w:t>
            </w:r>
          </w:p>
        </w:tc>
      </w:tr>
    </w:tbl>
    <w:p w14:paraId="0E8572D8" w14:textId="77777777" w:rsidR="00931DA0" w:rsidRPr="00931DA0" w:rsidRDefault="00931DA0" w:rsidP="00931DA0">
      <w:pPr>
        <w:adjustRightInd w:val="0"/>
        <w:snapToGrid w:val="0"/>
        <w:spacing w:after="120" w:line="240" w:lineRule="auto"/>
        <w:jc w:val="both"/>
        <w:rPr>
          <w:rFonts w:ascii="Arial" w:hAnsi="Arial" w:cs="Arial"/>
          <w:sz w:val="20"/>
          <w:szCs w:val="20"/>
        </w:rPr>
      </w:pPr>
    </w:p>
    <w:sectPr w:rsidR="00931DA0" w:rsidRPr="00931DA0" w:rsidSect="00931DA0">
      <w:headerReference w:type="even" r:id="rId6"/>
      <w:headerReference w:type="default" r:id="rId7"/>
      <w:footerReference w:type="even" r:id="rId8"/>
      <w:footerReference w:type="default" r:id="rId9"/>
      <w:headerReference w:type="first" r:id="rId10"/>
      <w:footerReference w:type="first" r:id="rId11"/>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F5C4F" w14:textId="77777777" w:rsidR="00505273" w:rsidRDefault="00505273">
      <w:pPr>
        <w:spacing w:after="0" w:line="240" w:lineRule="auto"/>
      </w:pPr>
      <w:r>
        <w:separator/>
      </w:r>
    </w:p>
  </w:endnote>
  <w:endnote w:type="continuationSeparator" w:id="0">
    <w:p w14:paraId="46D9E904" w14:textId="77777777" w:rsidR="00505273" w:rsidRDefault="005052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E3222" w14:textId="77777777" w:rsidR="008329CE" w:rsidRDefault="008329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A64ED" w14:textId="43A1F683" w:rsidR="00985A34" w:rsidRDefault="00985A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47B38" w14:textId="77777777" w:rsidR="008329CE" w:rsidRDefault="008329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7C6F8" w14:textId="77777777" w:rsidR="00505273" w:rsidRDefault="00505273">
      <w:pPr>
        <w:spacing w:after="0" w:line="240" w:lineRule="auto"/>
      </w:pPr>
      <w:r>
        <w:separator/>
      </w:r>
    </w:p>
  </w:footnote>
  <w:footnote w:type="continuationSeparator" w:id="0">
    <w:p w14:paraId="76A4BA5B" w14:textId="77777777" w:rsidR="00505273" w:rsidRDefault="005052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C301F" w14:textId="77777777" w:rsidR="008329CE" w:rsidRDefault="008329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00A86" w14:textId="77777777" w:rsidR="008329CE" w:rsidRDefault="008329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440AA" w14:textId="77777777" w:rsidR="008329CE" w:rsidRDefault="008329C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BA1"/>
    <w:rsid w:val="002D1B40"/>
    <w:rsid w:val="002E383F"/>
    <w:rsid w:val="00505273"/>
    <w:rsid w:val="00815836"/>
    <w:rsid w:val="008329CE"/>
    <w:rsid w:val="00931DA0"/>
    <w:rsid w:val="00985A34"/>
    <w:rsid w:val="009D128F"/>
    <w:rsid w:val="00B83C5D"/>
    <w:rsid w:val="00C77B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F5A14"/>
  <w15:docId w15:val="{7AAAF4E8-B7AF-4482-97F3-CC0D1F050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1D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1DA0"/>
  </w:style>
  <w:style w:type="paragraph" w:styleId="Footer">
    <w:name w:val="footer"/>
    <w:basedOn w:val="Normal"/>
    <w:link w:val="FooterChar"/>
    <w:uiPriority w:val="99"/>
    <w:unhideWhenUsed/>
    <w:rsid w:val="00931D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1D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904</Words>
  <Characters>5157</Characters>
  <Application>Microsoft Office Word</Application>
  <DocSecurity>0</DocSecurity>
  <Lines>42</Lines>
  <Paragraphs>12</Paragraphs>
  <ScaleCrop>false</ScaleCrop>
  <Company/>
  <LinksUpToDate>false</LinksUpToDate>
  <CharactersWithSpaces>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Le Van Toan</cp:lastModifiedBy>
  <cp:revision>3</cp:revision>
  <dcterms:created xsi:type="dcterms:W3CDTF">2026-09-03T05:08:00Z</dcterms:created>
  <dcterms:modified xsi:type="dcterms:W3CDTF">2026-09-08T07:46:00Z</dcterms:modified>
</cp:coreProperties>
</file>