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thông qua Quy chế quản lý kiến trúc thị trấn Cát Tiến,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21/NQ-HĐND</w:t>
      </w:r>
    </w:p>
    <w:p>
      <w:r>
        <w:t>Bình Định, ngày 12 tháng 6 năm 2024</w:t>
      </w:r>
    </w:p>
    <w:p>
      <w:r>
        <w:t>NGHỊ QUYẾT</w:t>
      </w:r>
    </w:p>
    <w:p>
      <w:r>
        <w:t>VỀ VIỆC THÔNG QUA QUY CHẾ QUẢN LÝ KIẾN TRÚC THỊ TRẤN CÁT TIẾN, HUYỆN PHÙ CÁT, TỈNH BÌNH ĐỊNH</w:t>
      </w:r>
    </w:p>
    <w:p>
      <w:r>
        <w:t>HỘI ĐỒNG NHÂN DÂN TỈNH BÌNH ĐỊNH</w:t>
      </w:r>
    </w:p>
    <w:p>
      <w:r>
        <w:t>KHÓA XIII KỲ HỌP THỨ 16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71/TTr-UBND ngày 10 tháng 6 năm 2024 của Ủy ban nhân dân tỉnh Bình Định về việc thông qua Quy chế quản lý kiến trúc thị trấn Cát Tiến, huyện Phù Cát, tỉnh Bình Định; Báo cáo thẩm tra số 33/BC-KTNS ngày 10 tháng 6 năm 2024 của Ban Kinh tế - Ngân sách Hội đồng nhân dân tỉnh; ý kiến thảo luận của đại biểu Hội đồng nhân dân tại kỳ họp.</w:t>
      </w:r>
    </w:p>
    <w:p>
      <w:r>
        <w:t>QUYẾT NGHỊ:</w:t>
      </w:r>
    </w:p>
    <w:p>
      <w:r>
        <w:t>Điều 1.  Nhất trí thông qua Quy chế quản lý kiến trúc thị trấn Cát Tiến, huyện Phù Cát, tỉnh Bình Định với các nội dung chính sau:</w:t>
      </w:r>
    </w:p>
    <w:p>
      <w:r>
        <w:t>1. Mục tiêu</w:t>
      </w:r>
    </w:p>
    <w:p>
      <w:r>
        <w:t>-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2. Đối tượng và phạm vi áp dụng</w:t>
      </w:r>
    </w:p>
    <w:p>
      <w:r>
        <w:t>a) Đối tượng áp dụng: Các tổ chức, cá nhân có liên quan đến hoạt động kiến trúc và xây dựng công trình kiến trúc trên phạm vi ranh giới thị trấn Cát Tiến, huyện Phù Cát.</w:t>
      </w:r>
    </w:p>
    <w:p>
      <w:r>
        <w:t>b) Phạm vi áp dụng: Quy chế này quy định quản lý kiến trúc đô thị trên phạm vi ranh giới thị trấn Cát Tiến, huyện Phù Cát.</w:t>
      </w:r>
    </w:p>
    <w:p>
      <w:r>
        <w:t>3. Nội dung chính của Quy chế</w:t>
      </w:r>
    </w:p>
    <w:p>
      <w:r>
        <w:t>Quy chế gồm 04 Chương, 17 Điều, cụ thể như sau:</w:t>
      </w:r>
    </w:p>
    <w:p>
      <w:r>
        <w:t>a) Chương I: Quy định chung, gồm:</w:t>
      </w:r>
    </w:p>
    <w:p>
      <w:r>
        <w:t>- Điều 1. Mục tiêu;</w:t>
      </w:r>
    </w:p>
    <w:p>
      <w:r>
        <w:t>- Điều 2. Đối tượng và phạm vi áp dụng;</w:t>
      </w:r>
    </w:p>
    <w:p>
      <w:r>
        <w:t>- Điều 3. Giải thích từ ngữ;</w:t>
      </w:r>
    </w:p>
    <w:p>
      <w:r>
        <w:t>- Điều 4. Nguyên tắc quản lý kiến trúc trong đô thị;</w:t>
      </w:r>
    </w:p>
    <w:p>
      <w:r>
        <w:t>- Điều 5.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hóa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hóa;</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công trình là biểu tượng về truyền thống, văn hóa và lịch sử của địa phương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w:t>
      </w:r>
    </w:p>
    <w:p>
      <w:r>
        <w:t>Điều 2.  Giao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16 (kỳ họp chuyên đề) thông qua và có hiệu lực từ ngày 12 tháng 6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