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19/2026/QH16 quy định về thuế bảo vệ môi trường, thuế giá trị gia tăng, thuế tiêu thụ đặc biệt đối với xăng, dầu và nhiên liệu bay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19/2026/QH16</w:t>
      </w:r>
    </w:p>
    <w:p>
      <w:r>
        <w:t>Hà Nội, ngày 12 tháng 04 năm 2026</w:t>
      </w:r>
    </w:p>
    <w:p>
      <w:r>
        <w:t>NGHỊ QUYẾT</w:t>
      </w:r>
    </w:p>
    <w:p>
      <w:r>
        <w:t>VỀ VIỆC BAN HÀNH MỘT SỐ QUY ĐỊNH VỀ THUẾ BẢO VỆ MÔI TRƯỜNG, THUẾ GIÁ TRỊ GIA TĂNG, THUẾ TIÊU THỤ ĐẶC BIỆT ĐỐI VỚI XĂNG, DẦU VÀ NHIÊN LIỆU BAY</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Bảo vệ môi trường số 57/2010/QH12;</w:t>
      </w:r>
    </w:p>
    <w:p>
      <w:r>
        <w:t>Căn cứ Luật Thuế giá trị gia tăng số 48/2024/QH15 đã được sửa đổi, bổ sung một số điều theo Luật số 90/2025/QH15 và Luật số 149/2025/QH15;</w:t>
      </w:r>
    </w:p>
    <w:p>
      <w:r>
        <w:t>Căn cứ Luật Thuế tiêu thụ đặc biệt số 66/2025/QH15;</w:t>
      </w:r>
    </w:p>
    <w:p>
      <w:r>
        <w:t>QUYẾT NGHỊ:</w:t>
      </w:r>
    </w:p>
    <w:p>
      <w:r>
        <w:t>Điều 1. Về thuế bảo vệ môi trường</w:t>
      </w:r>
    </w:p>
    <w:p>
      <w:r>
        <w:t>Mức thuế bảo vệ môi trường đối với xăng (trừ etanol), dầu diezel, dầu hỏa, dầu mazut và nhiên liệu bay là 0 đồng/lít.</w:t>
      </w:r>
    </w:p>
    <w:p>
      <w:r>
        <w:t>Điều 2. Về thuế giá trị gia tăng</w:t>
      </w:r>
    </w:p>
    <w:p>
      <w:r>
        <w:t>Xăng, dầu diezel, dầu hỏa, dầu mazut và nhiên liệu bay thuộc đối tượng không phải kê khai, tính nộp thuế giá trị gia tăng nhưng được khấu trừ thuế giá trị gia tăng đầu vào.</w:t>
      </w:r>
    </w:p>
    <w:p>
      <w:r>
        <w:t>Điều 3. Về thuế tiêu thụ đặc biệt</w:t>
      </w:r>
    </w:p>
    <w:p>
      <w:r>
        <w:t>Thuế suất thuế tiêu thụ đặc biệt đối với xăng các loại là 0%.</w:t>
      </w:r>
    </w:p>
    <w:p>
      <w:r>
        <w:t>Điều 4. Điều khoản thi hành</w:t>
      </w:r>
    </w:p>
    <w:p>
      <w:r>
        <w:t>1. Nghị quyết này có hiệu lực thi hành từ ngày 16 tháng 4 năm 2026 đến hết ngày 30 tháng 6 năm 2026, trừ trường hợp quy định tại khoản 2 Điều này.</w:t>
      </w:r>
    </w:p>
    <w:p>
      <w:r>
        <w:t>2. Giao Chính phủ căn cứ vào diễn biến thực tế của giá xăng, dầu thế giới, các chỉ số kinh tế vĩ mô, khả năng cân đối ngân sách, ban hành Nghị quyết để quyết định các nội dung sau đây và báo cáo Quốc hội tại kỳ họp gần nhất:</w:t>
      </w:r>
    </w:p>
    <w:p>
      <w:r>
        <w:t>a) Điều chỉnh (rút ngắn hoặc kéo dài) thời gian có hiệu lực của Nghị quyết này;</w:t>
      </w:r>
    </w:p>
    <w:p>
      <w:r>
        <w:t>b) Trường hợp khẩn cấp, điều chỉnh quy định về thuế bảo vệ môi trường, thuế giá trị gia tăng, thuế tiêu thụ đặc biệt quy định tại Nghị quyết này.</w:t>
      </w:r>
    </w:p>
    <w:p>
      <w:r>
        <w:t>3. Trong thời gian Nghị quyết này có hiệu lực thi hành:</w:t>
      </w:r>
    </w:p>
    <w:p>
      <w:r>
        <w:t>a) Trường hợp có sự khác nhau giữa quy định tại Nghị quyết này với các văn bản quy phạm pháp luật khác về thuế bảo vệ môi trường, thuế giá trị gia tăng, thuế tiêu thụ đặc biệt thì thực hiện theo quy định tại Nghị quyết này.</w:t>
      </w:r>
    </w:p>
    <w:p>
      <w:r>
        <w:t>b) Cơ sở kinh doanh, người nhập khẩu xăng, dầu diezel, dầu hỏa, dầu mazut và nhiên liệu bay không phải kê khai, tính nộp thuế giá trị gia tăng khi bán ra và ở khâu nhập khẩu.</w:t>
      </w:r>
    </w:p>
    <w:p>
      <w:r>
        <w:t>c) Các nội dung về thuế bảo vệ môi trường, thuế giá trị gia tăng, thuế tiêu thụ đặc biệt không quy định tại Nghị quyết này được thực hiện theo quy định của pháp luật hiện hành về thuế, quản lý thuế và quy định khác của pháp luật có liên quan.</w:t>
      </w:r>
    </w:p>
    <w:p>
      <w:r>
        <w:t>Nghị quyết này được Quốc hội nước Cộng hòa xã hội chủ nghĩa Việt Nam, khóa XVI, kỳ họp thứ Nhất thông qua ngày 12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