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sửa đổi Phụ lục tỷ lệ phần trăm (%) phân chia các khoản thu giữa các cấp ngân sách năm 2022, ổn định đến năm 2025 trên địa bàn tỉnh kèm theo Nghị quyết 10/2021/NQ-HĐND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13/2024/NQ-HĐND</w:t>
      </w:r>
    </w:p>
    <w:p>
      <w:r>
        <w:t>Vĩnh Long, ngày 10 tháng 12 năm 2024</w:t>
      </w:r>
    </w:p>
    <w:p>
      <w:r>
        <w:t>NGHỊ QUYẾT</w:t>
      </w:r>
    </w:p>
    <w:p>
      <w:r>
        <w:t>SỬA ĐỔI, BỔ SUNG PHỤ LỤC TỶ LỆ PHẦN TRĂM (%) PHÂN CHIA CÁC KHOẢN THU GIỮA CÁC CẤP NGÂN SÁCH NĂM 2022, ỔN ĐỊNH ĐẾN NĂM 2025 TRÊN ĐỊA BÀN TỈNH KÈM THEO NGHỊ QUYẾT SỐ 10/2021/NQ-HĐND NGÀY 09 THÁNG 12 NĂM 2021 CỦA HỘI ĐỒNG NHÂN DÂN TỈNH VĨNH LONG</w:t>
      </w:r>
    </w:p>
    <w:p>
      <w:r>
        <w:t>HỘI ĐỒNG NHÂN DÂN TỈNH VĨNH LONG</w:t>
      </w:r>
    </w:p>
    <w:p>
      <w:r>
        <w:t>KHÓA X,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Thông tư số 344/2016/TT-BTC ngày 30 tháng 12 năm 2016 của Bộ trưởng Bộ Tài chính quy định về quản lý ngân sách xã và các hoạt động tài chính khác của xã, phường, thị trấn;</w:t>
      </w:r>
    </w:p>
    <w:p>
      <w:r>
        <w:t>Xét Tờ trình số 229/TTr-UBND ngày 12 tháng 11 năm 2024 của Ủy ban nhân dân tỉnh về dự thảo Nghị quyết sửa đổi Phụ lục tỷ lệ phần trăm (%) phân chia các khoản thu giữa các cấp ngân sách năm 2022, ổn định đến năm 2025 trên địa bàn tỉnh kèm theo Nghị quyết số 10/2021/NQ-HĐND ngày 09 tháng 12 năm 2021 của Hội đồng nhân dân tỉnh Vĩnh Long; Báo cáo thẩm tra của Ban Kinh tế - Ngân sách Hội đồng nhân dân tỉnh; ý kiến thảo luận của đại biểu Hội đồng nhân dân tỉnh tại kỳ họp.</w:t>
      </w:r>
    </w:p>
    <w:p>
      <w:r>
        <w:t>QUYẾT NGHỊ:</w:t>
      </w:r>
    </w:p>
    <w:p>
      <w:r>
        <w:t>Điều 1.   Sửa đổi, bổ sung   Phụ lục tỷ lệ phần trăm (%) phân chia các khoản thu giữa các cấp   ngân sách năm 2022, ổn định đến năm 2025 trên địa bàn tỉnh kèm theo Nghị quyết số 10/2021/NQ-HĐND ngày 09 tháng 12 năm 2021   của Hội đồng nhân dân tỉnh Vĩnh Long, cụ thể như sau:</w:t>
      </w:r>
    </w:p>
    <w:p>
      <w:r>
        <w:t>Đơn vị tính: %</w:t>
      </w:r>
    </w:p>
    <w:p>
      <w:r>
        <w:t>Stt</w:t>
      </w:r>
    </w:p>
    <w:p>
      <w:r>
        <w:t>Tên khoản thu</w:t>
      </w:r>
    </w:p>
    <w:p>
      <w:r>
        <w:t>Ngân sách Trung ương</w:t>
      </w:r>
    </w:p>
    <w:p>
      <w:r>
        <w:t>Ngân sách tỉnh</w:t>
      </w:r>
    </w:p>
    <w:p>
      <w:r>
        <w:t>Ngân sách cấp huyện</w:t>
      </w:r>
    </w:p>
    <w:p>
      <w:r>
        <w:t>Ngân sách cấp xã</w:t>
      </w:r>
    </w:p>
    <w:p>
      <w:r>
        <w:t>Ngân sách huyện</w:t>
      </w:r>
    </w:p>
    <w:p>
      <w:r>
        <w:t>Ngân sách thành phố</w:t>
      </w:r>
    </w:p>
    <w:p>
      <w:r>
        <w:t>Ngân sách thị xã</w:t>
      </w:r>
    </w:p>
    <w:p>
      <w:r>
        <w:t>Ngân sách xã, thị trấn</w:t>
      </w:r>
    </w:p>
    <w:p>
      <w:r>
        <w:t>Ngân sách phường</w:t>
      </w:r>
    </w:p>
    <w:p>
      <w:r>
        <w:t>II</w:t>
      </w:r>
    </w:p>
    <w:p>
      <w:r>
        <w:t>Lệ phí môn bài đối với cá nhân, hộ kinh doanh</w:t>
      </w:r>
    </w:p>
    <w:p>
      <w:r>
        <w:t>- Bậc 1 (1.000.000 đ/năm)</w:t>
      </w:r>
    </w:p>
    <w:p>
      <w:r>
        <w:t>-</w:t>
      </w:r>
    </w:p>
    <w:p>
      <w:r>
        <w:t>-</w:t>
      </w:r>
    </w:p>
    <w:p>
      <w:r>
        <w:t>50</w:t>
      </w:r>
    </w:p>
    <w:p>
      <w:r>
        <w:t>50</w:t>
      </w:r>
    </w:p>
    <w:p>
      <w:r>
        <w:t>50</w:t>
      </w:r>
    </w:p>
    <w:p>
      <w:r>
        <w:t>50</w:t>
      </w:r>
    </w:p>
    <w:p>
      <w:r>
        <w:t>50</w:t>
      </w:r>
    </w:p>
    <w:p>
      <w:r>
        <w:t>VII</w:t>
      </w:r>
    </w:p>
    <w:p>
      <w:r>
        <w:t>Thuế thu nhập cá nhân</w:t>
      </w:r>
    </w:p>
    <w:p>
      <w:r>
        <w:t>- Đối tượng thành phố quản lý</w:t>
      </w:r>
    </w:p>
    <w:p>
      <w:r>
        <w:t>+ Thuế thu nhập cá nhân từ hộ kinh doanh</w:t>
      </w:r>
    </w:p>
    <w:p>
      <w:r>
        <w:t>-</w:t>
      </w:r>
    </w:p>
    <w:p>
      <w:r>
        <w:t>-</w:t>
      </w:r>
    </w:p>
    <w:p>
      <w:r>
        <w:t>-</w:t>
      </w:r>
    </w:p>
    <w:p>
      <w:r>
        <w:t>-</w:t>
      </w:r>
    </w:p>
    <w:p>
      <w:r>
        <w:t>-</w:t>
      </w:r>
    </w:p>
    <w:p>
      <w:r>
        <w:t>-</w:t>
      </w:r>
    </w:p>
    <w:p>
      <w:r>
        <w:t>100</w:t>
      </w:r>
    </w:p>
    <w:p>
      <w:r>
        <w:t>+ Thuế thu nhập cá nhân còn lại</w:t>
      </w:r>
    </w:p>
    <w:p>
      <w:r>
        <w:t>-</w:t>
      </w:r>
    </w:p>
    <w:p>
      <w:r>
        <w:t>-</w:t>
      </w:r>
    </w:p>
    <w:p>
      <w:r>
        <w:t>-</w:t>
      </w:r>
    </w:p>
    <w:p>
      <w:r>
        <w:t>100</w:t>
      </w:r>
    </w:p>
    <w:p>
      <w:r>
        <w:t>-</w:t>
      </w:r>
    </w:p>
    <w:p>
      <w:r>
        <w:t>-</w:t>
      </w:r>
    </w:p>
    <w:p>
      <w:r>
        <w:t>-</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Hiệu lực thi hành</w:t>
      </w:r>
    </w:p>
    <w:p>
      <w:r>
        <w:t>a) Nghị quyết này đã được Hội đồng nhân dân tỉnh Vĩnh Long Khóa X, Kỳ họp thứ Chín thông qua ngày 10 tháng 12 năm 2024 và có hiệu lực từ ngày 20 tháng 12 năm 2024.</w:t>
      </w:r>
    </w:p>
    <w:p>
      <w:r>
        <w:t>b) Bãi bỏ điểm c khoản 1 Điều 7 của Quy định phân cấp nguồn thu, nhiệm vụ chi và tỷ lệ phần trăm phân chia các khoản thu giữa các cấp ngân sách năm 2022, ổn định đến năm 2025 trên địa bàn tỉnh Vĩnh Long ban hành kèm theo Nghị quyết số 10/2021/NQ-HĐND ngày 09 tháng 12 năm 2021 của Hội đồng nhân dân tỉnh./.</w:t>
      </w:r>
    </w:p>
    <w:p>
      <w:r>
        <w:t>Nơi nhận:</w:t>
      </w:r>
    </w:p>
    <w:p>
      <w:r>
        <w:t>- Ủy ban thường vụ Quốc hội;</w:t>
      </w:r>
    </w:p>
    <w:p>
      <w:r>
        <w:t>- Chính phủ;</w:t>
      </w:r>
    </w:p>
    <w:p>
      <w:r>
        <w:t>- Bộ Tài chính;</w:t>
      </w:r>
    </w:p>
    <w:p>
      <w:r>
        <w:t>- Cục Kiểm tra VBQPPL - Bộ Tư pháp;</w:t>
      </w:r>
    </w:p>
    <w:p>
      <w:r>
        <w:t>- Tỉnh ủy, HĐND, UBND, UBMTTQVN tỉnh;</w:t>
      </w:r>
    </w:p>
    <w:p>
      <w:r>
        <w:t>- Đoàn ĐBQH đơn vị tỉnh Vĩnh Long;</w:t>
      </w:r>
    </w:p>
    <w:p>
      <w:r>
        <w:t>- Đại biểu HĐND tỉnh;</w:t>
      </w:r>
    </w:p>
    <w:p>
      <w:r>
        <w:t>- Văn phòng: Tỉnh ủy; Đoàn ĐBQH&amp;HĐND,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