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Nghị quyết 02/2022/NQ-HĐND quy định về danh mục các khoản thu và mức thu, cơ chế quản lý thu chi đối với các dịch vụ hỗ trợ hoạt động giáo dục, đào tạo đối với cơ sở giáo dục công lập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08/2023/NQ-HĐND</w:t>
      </w:r>
    </w:p>
    <w:p>
      <w:r>
        <w:t>Hải Phòng, ngày 08 tháng 12 năm 2023</w:t>
      </w:r>
    </w:p>
    <w:p>
      <w:r>
        <w:t>NGHỊ QUYẾT</w:t>
      </w:r>
    </w:p>
    <w:p>
      <w:r>
        <w:t>SỬA ĐỔI, BỔ SUNG ĐIỀU 3 NGHỊ QUYẾT SỐ 02/2022/NQ-HĐND NGÀY 20 THÁNG 7 NĂM 2022 CỦA HỘI ĐỒNG NHÂN DÂN THÀNH PHỐ QUY ĐỊNH DANH MỤC CÁC KHOẢN THU VÀ MỨC THU, CƠ CHẾ QUẢN LÝ THU CHI ĐỐI VỚI CÁC DỊCH VỤ HỖ TRỢ HOẠT ĐỘNG GIÁO DỤC, ĐÀO TẠO ĐỐI VỚI CƠ SỞ GIÁO DỤC CÔNG LẬP TRÊN ĐỊA BÀN THÀNH PHỐ HẢI PHÒNG</w:t>
      </w:r>
    </w:p>
    <w:p>
      <w:r>
        <w:t>HỘI ĐỒNG NHÂN DÂN THÀNH PHỐ HẢI PHÒNG</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84/2020/NĐ-CP ngày 17 tháng 7 năm 2020 của Chính phủ quy định chi tiết một số điều của Luật Giáo dục;</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Thực hiện Thông báo số 1848-CV/VPTU, ngày 28 tháng 11 năm 2023 về ý kiến của Thường trực Thành ủy đồng ý chủ trương trình Hội đồng nhân dân thành phố ban hành Nghị quyết sửa đổi, bổ sung một số điều của Nghị quyết số 02/2022/NQ-HĐND ngày 20 tháng 7 năm 2022 của Hội đồng nhân dân thành phố quy định danh mục các khoản thu và mức thu, cơ chế quản lý thu chi đối với các dịch vụ hỗ trợ hoạt động giáo dục, đào tạo đối với cơ sở giáo dục công lập trên địa bàn thành phố Hải Phòng;</w:t>
      </w:r>
    </w:p>
    <w:p>
      <w:r>
        <w:t>Xét Tờ trình số 178/TTr-UBND ngày 16 ngày 11 tháng 2023 của Ủy ban nhân dân thành phố về việc ban hành Nghị quyết sửa đổi, bổ sung một số điều của Nghị quyết số 02/2022/NQ-HĐND ngày 20 tháng 7 năm 2022 của Hội đồng nhân dân thành phố quy định danh mục các khoản thu và mức thu, cơ chế quản lý thu chi đối với các dịch vụ hỗ trợ hoạt động giáo dục, đào tạo đối với cơ sở giáo dục công lập trên địa bàn thành phố Hải Phòng; Báo cáo thẩm tra số 38/BC-VHXH ngày 29 tháng 11 năm 2023 của Ban Văn hóa - Xã hội Hội đồng nhân dân thành phố; ý kiến thảo luận của đại biểu Hội đồng nhân dân tại kỳ họp.</w:t>
      </w:r>
    </w:p>
    <w:p>
      <w:r>
        <w:t>QUYẾT NGHỊ:</w:t>
      </w:r>
    </w:p>
    <w:p>
      <w:r>
        <w:t>Điều 1. Sửa đổi, bổ sung Điều 3 Nghị quyết số 02/2022/NQ-HĐND ngày 20 tháng 7 năm 2022 của Hội đồng nhân dân thành phố quy định danh mục các khoản thu và mức thu, cơ chế quản lý thu chi đối với các dịch vụ hỗ trợ hoạt động giáo dục, đào tạo đối với cơ sở giáo dục công lập trên địa bàn thành phố Hải Phòng, Điều 3 được sửa đổi như sau:</w:t>
      </w:r>
    </w:p>
    <w:p>
      <w:r>
        <w:t>"Điều 3. Các khoản thu dịch vụ phục vụ, hỗ trợ hoạt động giáo dục</w:t>
      </w:r>
    </w:p>
    <w:p>
      <w:r>
        <w:t>Stt</w:t>
      </w:r>
    </w:p>
    <w:p>
      <w:r>
        <w:t>Danh mục các khoản thu</w:t>
      </w:r>
    </w:p>
    <w:p>
      <w:r>
        <w:t>Đơn vị tính</w:t>
      </w:r>
    </w:p>
    <w:p>
      <w:r>
        <w:t>Mức thu (nghìn đồng)</w:t>
      </w:r>
    </w:p>
    <w:p>
      <w:r>
        <w:t>Mầm non</w:t>
      </w:r>
    </w:p>
    <w:p>
      <w:r>
        <w:t>Tiểu học</w:t>
      </w:r>
    </w:p>
    <w:p>
      <w:r>
        <w:t>Trung học cơ sở; giáo dục thường xuyên cấp trung học cơ sở</w:t>
      </w:r>
    </w:p>
    <w:p>
      <w:r>
        <w:t>Trung học phổ thông; giáo dục thường xuyên cấp trung học phổ thông</w:t>
      </w:r>
    </w:p>
    <w:p>
      <w:r>
        <w:t>1</w:t>
      </w:r>
    </w:p>
    <w:p>
      <w:r>
        <w:t>Các dịch vụ phục vụ cho hoạt động bán trú</w:t>
      </w:r>
    </w:p>
    <w:p>
      <w:r>
        <w:t>1.1</w:t>
      </w:r>
    </w:p>
    <w:p>
      <w:r>
        <w:t>Phục vụ ăn bán trú</w:t>
      </w:r>
    </w:p>
    <w:p>
      <w:r>
        <w:t>Học sinh (trẻ)/ngày</w:t>
      </w:r>
    </w:p>
    <w:p>
      <w:r>
        <w:t>30</w:t>
      </w:r>
    </w:p>
    <w:p>
      <w:r>
        <w:t>30</w:t>
      </w:r>
    </w:p>
    <w:p>
      <w:r>
        <w:t>35</w:t>
      </w:r>
    </w:p>
    <w:p>
      <w:r>
        <w:t>không</w:t>
      </w:r>
    </w:p>
    <w:p>
      <w:r>
        <w:t>1.2</w:t>
      </w:r>
    </w:p>
    <w:p>
      <w:r>
        <w:t>Phục vụ hoạt động bán trú cho cá nhân học sinh</w:t>
      </w:r>
    </w:p>
    <w:p>
      <w:r>
        <w:t>a)</w:t>
      </w:r>
    </w:p>
    <w:p>
      <w:r>
        <w:t>Đối với (trẻ) học sinh mới tuyển hoặc lần đầu</w:t>
      </w:r>
    </w:p>
    <w:p>
      <w:r>
        <w:t>Học sinh (trẻ)/năm</w:t>
      </w:r>
    </w:p>
    <w:p>
      <w:r>
        <w:t>360</w:t>
      </w:r>
    </w:p>
    <w:p>
      <w:r>
        <w:t>360</w:t>
      </w:r>
    </w:p>
    <w:p>
      <w:r>
        <w:t>360</w:t>
      </w:r>
    </w:p>
    <w:p>
      <w:r>
        <w:t>không</w:t>
      </w:r>
    </w:p>
    <w:p>
      <w:r>
        <w:t>b)</w:t>
      </w:r>
    </w:p>
    <w:p>
      <w:r>
        <w:t>Các năm học tiếp theo</w:t>
      </w:r>
    </w:p>
    <w:p>
      <w:r>
        <w:t>Học sinh (trẻ)/năm</w:t>
      </w:r>
    </w:p>
    <w:p>
      <w:r>
        <w:t>200</w:t>
      </w:r>
    </w:p>
    <w:p>
      <w:r>
        <w:t>200</w:t>
      </w:r>
    </w:p>
    <w:p>
      <w:r>
        <w:t>200</w:t>
      </w:r>
    </w:p>
    <w:p>
      <w:r>
        <w:t>không</w:t>
      </w:r>
    </w:p>
    <w:p>
      <w:r>
        <w:t>1.3</w:t>
      </w:r>
    </w:p>
    <w:p>
      <w:r>
        <w:t>Hỗ trợ phục vụ hoạt động chăm sóc bán trú</w:t>
      </w:r>
    </w:p>
    <w:p>
      <w:r>
        <w:t>a)</w:t>
      </w:r>
    </w:p>
    <w:p>
      <w:r>
        <w:t>Hỗ trợ người nấu ăn; phục vụ chăm ăn, trông trưa, quản lý và vệ sinh bán trú</w:t>
      </w:r>
    </w:p>
    <w:p>
      <w:r>
        <w:t>Học sinh (trẻ)/tháng</w:t>
      </w:r>
    </w:p>
    <w:p>
      <w:r>
        <w:t>150</w:t>
      </w:r>
    </w:p>
    <w:p>
      <w:r>
        <w:t>150</w:t>
      </w:r>
    </w:p>
    <w:p>
      <w:r>
        <w:t>150</w:t>
      </w:r>
    </w:p>
    <w:p>
      <w:r>
        <w:t>không</w:t>
      </w:r>
    </w:p>
    <w:p>
      <w:r>
        <w:t>b)</w:t>
      </w:r>
    </w:p>
    <w:p>
      <w:r>
        <w:t>Quản lý trẻ/học sinh ngoài giờ hành chính (đầu giờ học và sau khi kết thúc buổi học)</w:t>
      </w:r>
    </w:p>
    <w:p>
      <w:r>
        <w:t>Học sinh (trẻ)/giờ</w:t>
      </w:r>
    </w:p>
    <w:p>
      <w:r>
        <w:t>10</w:t>
      </w:r>
    </w:p>
    <w:p>
      <w:r>
        <w:t>10</w:t>
      </w:r>
    </w:p>
    <w:p>
      <w:r>
        <w:t>không</w:t>
      </w:r>
    </w:p>
    <w:p>
      <w:r>
        <w:t>không</w:t>
      </w:r>
    </w:p>
    <w:p>
      <w:r>
        <w:t>2</w:t>
      </w:r>
    </w:p>
    <w:p>
      <w:r>
        <w:t>Dịch vụ chăm sóc trẻ mầm non Ngày thứ 7, Chủ nhật</w:t>
      </w:r>
    </w:p>
    <w:p>
      <w:r>
        <w:t>Trẻ/ngày</w:t>
      </w:r>
    </w:p>
    <w:p>
      <w:r>
        <w:t>50</w:t>
      </w:r>
    </w:p>
    <w:p>
      <w:r>
        <w:t>không</w:t>
      </w:r>
    </w:p>
    <w:p>
      <w:r>
        <w:t>không</w:t>
      </w:r>
    </w:p>
    <w:p>
      <w:r>
        <w:t>không</w:t>
      </w:r>
    </w:p>
    <w:p>
      <w:r>
        <w:t>3</w:t>
      </w:r>
    </w:p>
    <w:p>
      <w:r>
        <w:t>Dịch vụ hỗ trợ cho hoạt động giáo dục dạy học 2 buổi/ngày</w:t>
      </w:r>
    </w:p>
    <w:p>
      <w:r>
        <w:t>Học sinh/tháng</w:t>
      </w:r>
    </w:p>
    <w:p>
      <w:r>
        <w:t>không</w:t>
      </w:r>
    </w:p>
    <w:p>
      <w:r>
        <w:t>30</w:t>
      </w:r>
    </w:p>
    <w:p>
      <w:r>
        <w:t>không</w:t>
      </w:r>
    </w:p>
    <w:p>
      <w:r>
        <w:t>không</w:t>
      </w:r>
    </w:p>
    <w:p>
      <w:r>
        <w:t>4</w:t>
      </w:r>
    </w:p>
    <w:p>
      <w:r>
        <w:t>Dịch vụ phục vụ nước uống cho học sinh</w:t>
      </w:r>
    </w:p>
    <w:p>
      <w:r>
        <w:t>Học sinh/tháng</w:t>
      </w:r>
    </w:p>
    <w:p>
      <w:r>
        <w:t>không</w:t>
      </w:r>
    </w:p>
    <w:p>
      <w:r>
        <w:t>10</w:t>
      </w:r>
    </w:p>
    <w:p>
      <w:r>
        <w:t>10</w:t>
      </w:r>
    </w:p>
    <w:p>
      <w:r>
        <w:t>10</w:t>
      </w:r>
    </w:p>
    <w:p>
      <w:r>
        <w:t>5</w:t>
      </w:r>
    </w:p>
    <w:p>
      <w:r>
        <w:t>Dịch vụ trông giữ xe cho học sinh</w:t>
      </w:r>
    </w:p>
    <w:p>
      <w:r>
        <w:t>Xe đạp</w:t>
      </w:r>
    </w:p>
    <w:p>
      <w:r>
        <w:t>Xe/tháng</w:t>
      </w:r>
    </w:p>
    <w:p>
      <w:r>
        <w:t>30</w:t>
      </w:r>
    </w:p>
    <w:p>
      <w:r>
        <w:t>30</w:t>
      </w:r>
    </w:p>
    <w:p>
      <w:r>
        <w:t>30</w:t>
      </w:r>
    </w:p>
    <w:p>
      <w:r>
        <w:t>30</w:t>
      </w:r>
    </w:p>
    <w:p>
      <w:r>
        <w:t>Xe máy, xe điện</w:t>
      </w:r>
    </w:p>
    <w:p>
      <w:r>
        <w:t>Xe/tháng</w:t>
      </w:r>
    </w:p>
    <w:p>
      <w:r>
        <w:t>50</w:t>
      </w:r>
    </w:p>
    <w:p>
      <w:r>
        <w:t>50</w:t>
      </w:r>
    </w:p>
    <w:p>
      <w:r>
        <w:t>50</w:t>
      </w:r>
    </w:p>
    <w:p>
      <w:r>
        <w:t>50</w:t>
      </w:r>
    </w:p>
    <w:p>
      <w:r>
        <w:t>Điều 2. Tổ chức thực hiện</w:t>
      </w:r>
    </w:p>
    <w:p>
      <w:r>
        <w:t>1. Giao Ủy ban nhân dân thành phố chỉ đạo, tổ chức triển khai thực hiện Nghị quyết theo đúng quy định pháp luật.</w:t>
      </w:r>
    </w:p>
    <w:p>
      <w: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khóa XVI, Kỳ họp thứ 13, thông qua ngày 08 tháng 12 năm 2023 và có hiệu lực kể từ ngày 01/01/2024./.</w:t>
      </w:r>
    </w:p>
    <w:p>
      <w:r>
        <w:t>Nơi nhận:</w:t>
      </w:r>
    </w:p>
    <w:p>
      <w:r>
        <w:t>- Ủy ban TVQH; Chính phủ;</w:t>
      </w:r>
    </w:p>
    <w:p>
      <w:r>
        <w:t>- VP: Quốc hội, Chính phủ;</w:t>
      </w:r>
    </w:p>
    <w:p>
      <w:r>
        <w:t>- Ban Công tác đại biểu (UBTVQH);</w:t>
      </w:r>
    </w:p>
    <w:p>
      <w:r>
        <w:t>- Các Bộ: GD&amp;ĐT; TC;</w:t>
      </w:r>
    </w:p>
    <w:p>
      <w:r>
        <w:t>- Cục Kiểm tra VBQPPL (Bộ Tư pháp);</w:t>
      </w:r>
    </w:p>
    <w:p>
      <w:r>
        <w:t>- TTTU, TT HĐND TP; UBND TP;</w:t>
      </w:r>
    </w:p>
    <w:p>
      <w:r>
        <w:t>- Đoàn ĐBQH TP Hải Phòng;</w:t>
      </w:r>
    </w:p>
    <w:p>
      <w:r>
        <w:t>- UBMTTQVN thành phố;</w:t>
      </w:r>
    </w:p>
    <w:p>
      <w:r>
        <w:t>- Các Ban HĐND TP;</w:t>
      </w:r>
    </w:p>
    <w:p>
      <w:r>
        <w:t>- Các đại biểu HĐND thành phố khóa XVI;</w:t>
      </w:r>
    </w:p>
    <w:p>
      <w:r>
        <w:t>- Các VP: TU, Đoàn ĐBQH và HĐNDTP, UBND TP;</w:t>
      </w:r>
    </w:p>
    <w:p>
      <w:r>
        <w:t>- Các sở, ban, ngành, đoàn thể thành phố;</w:t>
      </w:r>
    </w:p>
    <w:p>
      <w:r>
        <w:t>- Các quận ủy, huyện ủy;</w:t>
      </w:r>
    </w:p>
    <w:p>
      <w:r>
        <w:t>- TT HĐND, UBND các quận, huyện;</w:t>
      </w:r>
    </w:p>
    <w:p>
      <w:r>
        <w:t>- CVP, các PCVP Đoàn ĐBQH và HĐND TP;</w:t>
      </w:r>
    </w:p>
    <w:p>
      <w:r>
        <w:t>- Báo HP, Đài PTTHHP;</w:t>
      </w:r>
    </w:p>
    <w:p>
      <w:r>
        <w:t>- Công báo TP; Cổng TTĐT TP (để đăng);</w:t>
      </w:r>
    </w:p>
    <w:p>
      <w:r>
        <w:t>- Các CV VP Đoàn ĐBQH và HĐND TP;</w:t>
      </w:r>
    </w:p>
    <w:p>
      <w:r>
        <w:t>- Lưu: VP,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