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02/2023/NQ-HĐND quy định về chính sách hỗ trợ cho chủ rừng để thực hiện công tác quản lý, bảo vệ rừng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02/2023/NQ-HĐND</w:t>
      </w:r>
    </w:p>
    <w:p>
      <w:r>
        <w:t>Nghệ An, ngày 07 tháng 7 năm 2023</w:t>
      </w:r>
    </w:p>
    <w:p>
      <w:r>
        <w:t>NGHỊ QUYẾT</w:t>
      </w:r>
    </w:p>
    <w:p>
      <w:r>
        <w:t>QUY ĐỊNH CHÍNH SÁCH HỖ TRỢ CHO CHỦ RỪNG ĐỂ THỰC HIỆN CÔNG TÁC QUẢN LÝ BẢO VỆ RỪNG TRÊN ĐỊA BÀN TỈNH NGHỆ AN</w:t>
      </w:r>
    </w:p>
    <w:p>
      <w:r>
        <w:t>HỘI ĐỒNG NHÂN DÂN TỈNH NGHỆ AN</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cứ Nghị định số 01/2019/NĐ-CP ngày 01 tháng 01 năm 2019 của Chính phủ về Kiểm lâm và lực lượng chuyên trách bảo vệ rừng;</w:t>
      </w:r>
    </w:p>
    <w:p>
      <w:r>
        <w:t>Căn cứ Quyết định số 38/2016/QĐ-TTg ngày 14 tháng 9 năm 2016 của Thủ tướng Chính phủ về ban hành một số chính sách bảo vệ phát triển rừng và đầu tư hỗ trợ kết cấu hạ tầng, giao nhiệm vụ công ích đối với các công ty nông, lâm nghiệp;</w:t>
      </w:r>
    </w:p>
    <w:p>
      <w:r>
        <w:t>Xét Tờ trình số 4232/TTr-UBND ngày 01 tháng 6 năm 2023 của Ủy ban nhân dân tỉnh;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chính sách hỗ trợ cho chủ rừng để thực hiện công tác quản lý, bảo vệ rừng trên địa bàn tỉnh Nghệ An.</w:t>
      </w:r>
    </w:p>
    <w:p>
      <w:r>
        <w:t>Điều 2. Đối tượng áp dụng</w:t>
      </w:r>
    </w:p>
    <w:p>
      <w:r>
        <w:t>1. Các chủ rừng là Ban quản lý rừng đặc dụng, Ban quản lý rừng phòng hộ nơi không thành lập tổ chức Kiểm lâm; doanh nghiệp nhà nước, tổ chức không thuộc lực lượng vũ trang được Nhà nước giao rừng, cho thuê rừng và đất rừng có tổ chức Lực lượng chuyên trách bảo vệ rừng.</w:t>
      </w:r>
    </w:p>
    <w:p>
      <w:r>
        <w:t>2.  Lực lượng chuyên trách bảo vệ rừng là lao động hợp đồng theo quy định của pháp luật của các chủ rừng theo quy định tại khoản 1 Điều này .</w:t>
      </w:r>
    </w:p>
    <w:p>
      <w:r>
        <w:t>3. Các sở, ban, ngành và các tổ chức cá nhân khác có liên quan.</w:t>
      </w:r>
    </w:p>
    <w:p>
      <w:r>
        <w:t>Điều 3. Điều kiện, định mức, nội dung hỗ trợ</w:t>
      </w:r>
    </w:p>
    <w:p>
      <w:r>
        <w:t>1. Điều kiện hỗ trợ: Các chủ rừng quy định tại khoản 1 Điều 2 Nghị quyết này sử dụng Lực lượng chuyên trách bảo vệ rừng là lao động hợp đồng để thực hiện quản lý bảo vệ rừng đối với diện tích rừng phòng hộ, rừng đặc dụng, rừng sản xuất là rừng tự nhiên đang trong thời gian đóng cửa rừng nhưng chưa được bố trí nguồn kinh phí quản lý bảo vệ rừng hoặc đã được bố trí nhưng đơn giá thấp hơn 300.000 đồng/ha/năm.</w:t>
      </w:r>
    </w:p>
    <w:p>
      <w:r>
        <w:t>2. Mức hỗ trợ</w:t>
      </w:r>
    </w:p>
    <w:p>
      <w:r>
        <w:t>a) Đối với diện tích chưa được bố trí nguồn kinh phí quản lý bảo vệ rừng thì hỗ trợ mức 300.000 đồng/ha/năm;</w:t>
      </w:r>
    </w:p>
    <w:p>
      <w:r>
        <w:t>b) Đối với diện tích đã được bố trí kinh phí bảo vệ rừng từ chính sách chi trả dịch vụ môi trường rừng, các chương trình dự án, nguồn vốn hợp pháp khác nhưng tổng đơn giá đã hỗ trợ nhỏ hơn: 300.000 đồng/ha/năm thì hỗ trợ bổ sung để đạt mức 300.000 đồng/ha/năm.</w:t>
      </w:r>
    </w:p>
    <w:p>
      <w:r>
        <w:t>3. Nội dung hỗ trợ: Chủ rừng sử dụng kinh phí được hỗ trợ để thực hiện giao khoán bảo vệ rừng cho Lực lượng chuyên trách bảo vệ rừng theo quy định hiện hành.</w:t>
      </w:r>
    </w:p>
    <w:p>
      <w:r>
        <w:t>Điều 4. Kinh phí thực hiện</w:t>
      </w:r>
    </w:p>
    <w:p>
      <w:r>
        <w:t>Nguồn ngân sách tỉnh hỗ trợ mỗi năm không quá 15 tỷ đồng; huy động các nguồn hợp pháp khác gồm: Nguồn kinh phí dịch vụ môi trường rừng; nguồn sự nghiệp kinh tế Chương trình phát triển lâm nghiệp bền vững; nguồn chi trả giảm phát thải khí nhà kính vùng Bắc Trung Bộ, đồng thời lồng ghép từ các chương trình dự án khác để đảm bảo thực hiện chính sách.</w:t>
      </w:r>
    </w:p>
    <w:p>
      <w:r>
        <w:t>Điều 5.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6. Hiệu lực thi hành</w:t>
      </w:r>
    </w:p>
    <w:p>
      <w:r>
        <w:t>Nghị quyết này đã được Hội đồng nhân dân tỉnh Nghệ An Khóa XVIII, Kỳ họp thứ 14 thông qua ngày 07 tháng 7 năm 2023 và có hiệu lực từ ngày 17 tháng 7 năm 2023./.</w:t>
      </w:r>
    </w:p>
    <w:p>
      <w:r>
        <w:t>Nơi nhận:</w:t>
      </w:r>
    </w:p>
    <w:p>
      <w:r>
        <w:t>- Ủy ban Thường vụ Quốc hội, Chính phủ (để b/c);</w:t>
      </w:r>
    </w:p>
    <w:p>
      <w:r>
        <w:t>- Các Bộ: Nông nghiệp và Phát triển nông thôn, Tài chính, Tư pháp (Cục Kiểm tra VBQPPL);</w:t>
      </w:r>
    </w:p>
    <w:p>
      <w:r>
        <w:t>- TT.Tỉnh ủy, TT.HĐND tỉnh, UBND tỉnh, UBMTTQVN tỉnh;</w:t>
      </w:r>
    </w:p>
    <w:p>
      <w:r>
        <w:t>- Các Ban, Tổ đại biểu, Đại biểu HĐND tỉnh;</w:t>
      </w:r>
    </w:p>
    <w:p>
      <w:r>
        <w:t>- Toà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