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Technical Regulation QCVN109:2021/BGTVT/SD01:2023 for The fifth level of gaseous pollutants emission for new assembled, manufactured and imported automobiles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QCVN109:2021/BGTVT/SD01:2023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Note:</w:t>
      </w:r>
    </w:p>
    <w:p>
      <w:r>
        <w:t>(1)    The first reading is indicated by electronic particulate balance and checked visually. The second reading is obtained from automatic particulate measurement by a weighing device and particulate measurement program (PMP);</w:t>
      </w:r>
    </w:p>
    <w:p>
      <w:r>
        <w:t>(2)    Emissions limit values for vehicles of category N1 class III apply to the vehicles designed to fulfil specific social needs as defined in 4.13 paragraph 4 Part I of this Regulation.”.</w:t>
      </w:r>
    </w:p>
    <w:p>
      <w:r>
        <w:t>2. Amendments to sub-paragraph 2.7.1 of paragraph 2:</w:t>
      </w:r>
    </w:p>
    <w:p>
      <w:r>
        <w:t>“2.7.1.    A vehicle must be equipped with an OBD system which has:</w:t>
      </w:r>
    </w:p>
    <w:p>
      <w:r>
        <w:t>2.7.1.1.    A malfunction indicator (MI);</w:t>
      </w:r>
    </w:p>
    <w:p>
      <w:r>
        <w:t>2.7.1.2.    Ability to record and erase fault codes.”.</w:t>
      </w:r>
    </w:p>
    <w:p>
      <w:r>
        <w:t>3. Adding sub-paragraph 2.9.3 to paragraph 2:</w:t>
      </w:r>
    </w:p>
    <w:p>
      <w:r>
        <w:t>“2.9.3.    For heavy reference mass vehicles with a   compression ignition engine including vehicles of categories M1, M2, N1 and N2 with a reference mass not exceeding 4.500 kg, apply the test methods specified in sub-paragraph 3.2 paragraph 3 Part III of this Regulation or the test methods specified in sub-paragraph 3.3 paragraph 3 Part III of this Regulation in accordance with technical requirements corresponding to each test method specified in paragraph 2 Part II of this Regulation.”.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“3.2.1.    When tested in the test described in sub-paragraph 3.3.2 paragraph 3 Part III of this Regulation, the average mass of CO, HC, NOx and PM from engine shall not exceed the limits mentioned in Tables 4 and 5 below.   The values of such gaseous pollutants are rounded to three places to the right of the decimal point.</w:t>
      </w:r>
    </w:p>
    <w:p>
      <w:r>
        <w:t>Table 4. Emissions limit values of each gaseous pollutant and particulate for ESC and ELR tests level 5</w:t>
      </w:r>
    </w:p>
    <w:p>
      <w:r>
        <w:t>ESC</w:t>
      </w:r>
    </w:p>
    <w:p>
      <w:r>
        <w:t>ELR</w:t>
      </w:r>
    </w:p>
    <w:p>
      <w:r>
        <w:t>Mass    (g/kWh)</w:t>
      </w:r>
    </w:p>
    <w:p>
      <w:r>
        <w:t>Smoke</w:t>
      </w:r>
    </w:p>
    <w:p>
      <w:r>
        <w:t>(m -1 )</w:t>
      </w:r>
    </w:p>
    <w:p>
      <w:r>
        <w:t>CO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NO x</w:t>
      </w:r>
    </w:p>
    <w:p>
      <w:r>
        <w:t>PM</w:t>
      </w:r>
    </w:p>
    <w:p>
      <w:r>
        <w:t>1,5</w:t>
      </w:r>
    </w:p>
    <w:p>
      <w:r>
        <w:t>0,46</w:t>
      </w:r>
    </w:p>
    <w:p>
      <w:r>
        <w:t>2,0</w:t>
      </w:r>
    </w:p>
    <w:p>
      <w:r>
        <w:t>0,02</w:t>
      </w:r>
    </w:p>
    <w:p>
      <w:r>
        <w:t>0,5</w:t>
      </w:r>
    </w:p>
    <w:p>
      <w:r>
        <w:t>”.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“3.3.1.    A vehicle must be equipped with an OBD system which has:</w:t>
      </w:r>
    </w:p>
    <w:p>
      <w:r>
        <w:t>3.3.1.1.    A malfunction indicator (MI);</w:t>
      </w:r>
    </w:p>
    <w:p>
      <w:r>
        <w:t>3.3.1.2.    Ability to record and erase fault codes; ability to erase fault codes according to the manufacturer's design.”.</w:t>
      </w:r>
    </w:p>
    <w:p>
      <w:r>
        <w:t>Part III. Amendments to Part III of QCVN 109:2021/BGTVT</w:t>
      </w:r>
    </w:p>
    <w:p>
      <w:r>
        <w:t>1. Amendments to sub-paragraphs 2.2.1, 2.2.2, 2.2.3 of paragraph 2:</w:t>
      </w:r>
    </w:p>
    <w:p>
      <w:r>
        <w:t>“2.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