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40:2025/BTNMT for Industrial effluent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QCVN40:2025/BTNMT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QCVN 40:2025/BTNMT</w:t>
      </w:r>
    </w:p>
    <w:p>
      <w:r>
        <w:t>NATIONAL TECHNICAL REGULATION ON INDUSTRIAL EFFLUENT</w:t>
      </w:r>
    </w:p>
    <w:p>
      <w:r>
        <w:t>Foreword</w:t>
      </w:r>
    </w:p>
    <w:p>
      <w:r>
        <w:t>QCVN 14:2025/BTNMT    is developed by the Pollution Control Department, submitted by the Department of Science and Technology for approval; appraised by the Ministry of Science and Technology, and promulgated by the Minister of Natural Resources and Environment together with the Circular No. ……/2025/TT-BTNMT dated … (dd) … (mm), 2025.</w:t>
      </w:r>
    </w:p>
    <w:p>
      <w:r>
        <w:t>QCVN 40:2025/BTNMT    supersedes:</w:t>
      </w:r>
    </w:p>
    <w:p>
      <w:r>
        <w:t>QCVN 25:2009/BTNMT - National technical regulation on wastewater of the solid waste landfill;</w:t>
      </w:r>
    </w:p>
    <w:p>
      <w:r>
        <w:t>QCVN 28:2010/BTNMT - National technical regulation on health care wastewater;</w:t>
      </w:r>
    </w:p>
    <w:p>
      <w:r>
        <w:t>QCVN 29:2010/BTNMT - National technical regulation on the effluent of petroleum terminal and stations;</w:t>
      </w:r>
    </w:p>
    <w:p>
      <w:r>
        <w:t>QCVN 40:2011/BTNMT - National technical regulation on industrial wastewater; QCVN 01-MT:2015/BTNMT - National technical regulation on the effluent of natural rubber processing industry;</w:t>
      </w:r>
    </w:p>
    <w:p>
      <w:r>
        <w:t>QCVN 11-MT:2015/BTNMT - National technical regulation on the effluent of aquatic products processing industry;</w:t>
      </w:r>
    </w:p>
    <w:p>
      <w:r>
        <w:t>QCVN 12-MT:2015/BTNMT - National technical regulation on the effluent of pulp and paper mills;</w:t>
      </w:r>
    </w:p>
    <w:p>
      <w:r>
        <w:t>QCVN 13-MT:2015/BTNMT - National technical regulation on the effluent of textile industry;</w:t>
      </w:r>
    </w:p>
    <w:p>
      <w:r>
        <w:t>QCVN 60-MT:2015/BTNMT - National technical regulation on the effluent of bioethanol processing;</w:t>
      </w:r>
    </w:p>
    <w:p>
      <w:r>
        <w:t>QCVN 63:2017/BTNMT - National technical regulation on effluent discharged from the cassava starch processing factories;</w:t>
      </w:r>
    </w:p>
    <w:p>
      <w:r>
        <w:t>QCVN 52:2017/BTNMT - National technical regulation on wastewater of steel industry.</w:t>
      </w:r>
    </w:p>
    <w:p>
      <w:r>
        <w:t>NATIONAL TECHNICAL REGULATION ON INDUSTRIAL EFFLUENT</w:t>
      </w:r>
    </w:p>
    <w:p>
      <w:r>
        <w:t>1. GENERAL</w:t>
      </w:r>
    </w:p>
    <w:p>
      <w:r>
        <w:t>1.1. Scope</w:t>
      </w:r>
    </w:p>
    <w:p>
      <w:r>
        <w:t>1.1.1. This Regulation provides for permissible limit values of pollution parameters in industrial effluent when discharged into water receiving bodies.</w:t>
      </w:r>
    </w:p>
    <w:p>
      <w:r>
        <w:t>1.1.2. This Regulation does not apply to produced water discharged from offshore oil and gas installations; livestock effluent; domestic and municipal wastewater.</w:t>
      </w:r>
    </w:p>
    <w:p>
      <w:r>
        <w:t>1.2. Regulated entities</w:t>
      </w:r>
    </w:p>
    <w:p>
      <w:r>
        <w:t>This Regulation applies to regulatory agencies, organizations and individuals (hereinafter referred to as “organizations and individuals”) related to the discharge of industrial effluent into water receiving bodies.</w:t>
      </w:r>
    </w:p>
    <w:p>
      <w:r>
        <w:t>1.3. Definitions</w:t>
      </w:r>
    </w:p>
    <w:p>
      <w:r>
        <w:t>For the purposes of this Regulation, the terms below shall be construed as follows:</w:t>
      </w:r>
    </w:p>
    <w:p>
      <w:r>
        <w:t>1.3.1.  Domestic wastewater  means wastewater generated from human activities, including eating, drinking, bathing, laundry and personal hygiene.</w:t>
      </w:r>
    </w:p>
    <w:p>
      <w:r>
        <w:t>1.3.2.  Industrial effluent  means effluent generated from production, business and service activities specified in Column 2 of Appendix 2 to this Regulation from concentrated production, business and service areas and industrial clusters.</w:t>
      </w:r>
    </w:p>
    <w:p>
      <w:r>
        <w:t>1.3.3.  Column A, Column B, Column C  (effluent discharge zones) in Table 1 and Table 2 of this Regulation are prescribed as follows:</w:t>
      </w:r>
    </w:p>
    <w:p>
      <w:r>
        <w:t>1.3.3.1.  Column A  specifies permissible limit values ​​of pollution parameters in effluent when discharged into water receiving bodies having the function of supplying water for domestic purposes or for the purpose of managing and improving water quality to satisfy the requirements of 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