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9906/BGTVT-KCHT năm 2024 tham gia đấu thấu dự án nạo vét đoạn km 0+000 đến km13+000 sông Hàm Luông áp dụng Điều 4 Chương II Nghị định 57/2024/NĐ-CP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9906/BGTVT-KCHT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9906 /BGTVT-KCHT</w:t>
      </w:r>
    </w:p>
    <w:p>
      <w:r>
        <w:t>V/v tham gia đấu thầu dự án nạo vét đoạn km 0+000 đến km13+000 sông Hàm Luông áp dụng Điều 4 Chương II Nghị định số 57/2024/NĐ-CP ngày</w:t>
      </w:r>
    </w:p>
    <w:p>
      <w:r>
        <w:t>Hà Nội, ngày 16 tháng 9 năm 2024</w:t>
      </w:r>
    </w:p>
    <w:p>
      <w:r>
        <w:t>Kính gửi:  Công ty Cổ phần IBM Land Châu Á Thái Bình Dương (địa chỉ: số 1, đường 15, quận An Phú, thành phố Thủ Đức, TP Hồ Chí Minh)</w:t>
      </w:r>
    </w:p>
    <w:p>
      <w:r>
        <w:t>Bộ Giao thông vận tải nhận được văn bản số 01.2024/CV-IBMLAND ngày 01/9/2024 của Công ty Cổ phần IBM Land Châu Á Thái Bình Dương về việc mở thầu và đấu thầu nộp thuế tài nguyên môi trường chọn nhà đầu tư theo quy định tại Nghị định số 57/2024/NĐ-CP ngày 20/5/2014. Về vấn đề này, Bộ Giao thông vận tải có ý kiến như sau:</w:t>
      </w:r>
    </w:p>
    <w:p>
      <w:r>
        <w:t>1. Tại văn bản nêu trên, Công ty đề nghị tham gia đấu thầu dự án nạo vét đoạn km 0+000 đến km13+000 sông Hàm Luông áp dụng Điều 4 Chương II Nghị định số 57/2024/NĐ-CP ngày 20/5/2024 của Chính phủ. Tuy nhiên, tại Điều 4 Chương II của Nghị định được quy định về nguyên tắc hoạt động nạo vét trong vùng nước cảng biển, vùng nước đường thủy nội địa.</w:t>
      </w:r>
    </w:p>
    <w:p>
      <w:r>
        <w:t>Dự án nạo vét đoạn kết hợp tận thu sản phẩm sông Hàm Luông từ km 0+000 đến km13+000 thuộc các dự án thực hiện theo quy định tại Điều 51 Nghị định số 57/2024/NĐ-CP ngày 20/5/2024, dự án này không phải thực hiện lựa chọn lại nhà đầu tư thực hiện Dự án.</w:t>
      </w:r>
    </w:p>
    <w:p>
      <w:r>
        <w:t>2. Vì vậy, đề xuất của Công ty tại văn bản nêu trên là không có cơ sở, không có căn cứ để xem xét, giải quyết.</w:t>
      </w:r>
    </w:p>
    <w:p>
      <w:r>
        <w:t>Trong thời gian tới, đề nghị Công ty khi đề nghị Bộ Giao thông vận tải xem xét, giải quyết các nội dung liên quan đến hoạt động nạo vét vùng nước cảng biển, vùng nước đường thủy nội địa, Công ty cần nghiên cứu kỹ các quy định pháp luật để đảm bảo các đề nghị có cơ sở, có căn cứ và phù hợp với quy định của pháp luật./.</w:t>
      </w:r>
    </w:p>
    <w:p>
      <w:r>
        <w:t>Nơi nhận:</w:t>
      </w:r>
    </w:p>
    <w:p>
      <w:r>
        <w:t>- Như trên;</w:t>
      </w:r>
    </w:p>
    <w:p>
      <w:r>
        <w:t>- Bộ trưởng (để b/c);</w:t>
      </w:r>
    </w:p>
    <w:p>
      <w:r>
        <w:t>- Thứ trưởng Nguyễn Xuân Sang (để b/c);</w:t>
      </w:r>
    </w:p>
    <w:p>
      <w:r>
        <w:t>- Vụ trưởng (để b/c);</w:t>
      </w:r>
    </w:p>
    <w:p>
      <w:r>
        <w:t>- Cục ĐTNĐVN;</w:t>
      </w:r>
    </w:p>
    <w:p>
      <w:r>
        <w:t>- Lưu: VT, KCHT (2).</w:t>
      </w:r>
    </w:p>
    <w:p>
      <w:r>
        <w:t>TL. BỘ TRƯỞNG</w:t>
      </w:r>
    </w:p>
    <w:p>
      <w:r>
        <w:t>KT. VỤ TRƯỞNG VỤ KCHTGT</w:t>
      </w:r>
    </w:p>
    <w:p>
      <w:r>
        <w:t>PHÓ VỤ TRƯỞNG</w:t>
      </w:r>
    </w:p>
    <w:p>
      <w:r>
        <w:t>Nguyễn Hữu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