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9767/CHQ-GSQL năm 2025 hướng dẫn thủ tục hải quan hàng hóa mua, bán giữa các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9767/CHQ-GSQL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9767 /CHQ-GSQL</w:t>
      </w:r>
    </w:p>
    <w:p>
      <w:r>
        <w:t>V/v hướng dẫn thủ tục hải quan</w:t>
      </w:r>
    </w:p>
    <w:p>
      <w:r>
        <w:t>Hà Nội, ngày  19  tháng  6  năm 2025</w:t>
      </w:r>
    </w:p>
    <w:p>
      <w:r>
        <w:t>Kính gửi:    Công ty TNHH Gain Lucky Việt Nam.</w:t>
      </w:r>
    </w:p>
    <w:p>
      <w:r>
        <w:t>(Đ/c: Lô 40-6, Đường N14, KCN Phước Đông, Xã Phước Đông, Huyện Gò Dầu, Tỉnh Tây Ninh)</w:t>
      </w:r>
    </w:p>
    <w:p>
      <w:r>
        <w:t>Trả lời công văn số GL20250606CV-CHQ ngày 06/06/2025 của Công ty TNHH Gain Lucky Việt Nam (sau đây gọi tắt là Công ty) về việc hàng hóa mua, bán giữa các DNCX với nhau, Cục Hải quan có ý kiến như sau:</w:t>
      </w:r>
    </w:p>
    <w:p>
      <w:r>
        <w:t>Các trường hợp DNCX và đối tác của DNCX được lựa chọn thực hiện hoặc không thực hiện thủ tục hải quan đã được quy định cụ thể tại khoản 1</w:t>
      </w:r>
    </w:p>
    <w:p>
      <w:r>
        <w:t>Điều 74 Thông tư số 38/2015/TT-BTC ngày 25/03/2015 được sửa đổi, bổ sung tại khoản 50 Điều 1 Thông tư số 39/2018/TT-BTC ngày 20/04/2018 của Bộ Tài chính.</w:t>
      </w:r>
    </w:p>
    <w:p>
      <w:r>
        <w:t>Báo cáo quyết toán tình hình sử dụng nguyên liệu, vật tư nhập khẩu, hàng hóa xuất khẩu được quy định cụ thể tại Điều 60 Thông tư số 38/2015/TT- BTC ngày 25/03/2015 được sửa đổi, bổ sung tại khoản 39 Điều 1 Thông tư số 39/2018/TT-BTC ngày 20/04/2018 của Bộ Tài chính.</w:t>
      </w:r>
    </w:p>
    <w:p>
      <w:r>
        <w:t>Đề nghị Công ty nghiên cứu quy định nêu trên, đối chiếu với thực tế phát sinh của Công ty để thực hiện. Trường hợp còn vướng mắc thì liên hệ với cơ quan Hải quan nơi đăng ký tờ khai để được hướng dẫn cụ thể.</w:t>
      </w:r>
    </w:p>
    <w:p>
      <w:r>
        <w:t>Cục Hải quan trả lời để Công ty biết./.</w:t>
      </w:r>
    </w:p>
    <w:p>
      <w:r>
        <w:t>Nơi nhận:</w:t>
      </w:r>
    </w:p>
    <w:p>
      <w:r>
        <w:t>- Như trên;</w:t>
      </w:r>
    </w:p>
    <w:p>
      <w:r>
        <w:t>- PCT Âu Anh Tuấn (để b/c);</w:t>
      </w:r>
    </w:p>
    <w:p>
      <w:r>
        <w:t>- Lưu: VT, GSQL (3b).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