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7629/CCTKV.XVI-QLDN2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7629/CCTKV.XVI-QLDN2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7629/CCTKV.XVI-QLDN 2</w:t>
      </w:r>
    </w:p>
    <w:p>
      <w:r>
        <w:t>V/v chính sách thuế</w:t>
      </w:r>
    </w:p>
    <w:p>
      <w:r>
        <w:t>Bình Dương, ngày 14 tháng 5 năm 2025</w:t>
      </w:r>
    </w:p>
    <w:p>
      <w:r>
        <w:t>Kính gửi:</w:t>
      </w:r>
    </w:p>
    <w:p>
      <w:r>
        <w:t>Công Ty TNHH Ắc Quy GS Việt Nam</w:t>
      </w:r>
    </w:p>
    <w:p>
      <w:r>
        <w:t>Địa chỉ: Số 18 đường số 3, KCN Việt Nam - Singapore, Phường Bình Hòa, Thành phố Thuận An, tỉnh Bình Dương</w:t>
      </w:r>
    </w:p>
    <w:p>
      <w:r>
        <w:t>MST: 3700255457</w:t>
      </w:r>
    </w:p>
    <w:p>
      <w:r>
        <w:t>Chi cục Thuế Khu vực XVI nhận được văn bản số GSV-07/2025 ngày 22/04/2025 của Công Ty TNHH Ắc Quy GS Việt Nam (gọi tắt là “Công ty”) vướng mắc về chính sách thuế.</w:t>
      </w:r>
    </w:p>
    <w:p>
      <w:r>
        <w:t>Qua nội dung văn bản nói trên, Chi cục Thuế Khu vực XVI có ý kiến như sau:</w:t>
      </w:r>
    </w:p>
    <w:p>
      <w:r>
        <w:t>- Căn cứ Nghị định số 123/2020/NĐ-CP ngày 19/10/2020 của Chính phủ quy định về hóa đơn, chứng từ:</w:t>
      </w:r>
    </w:p>
    <w:p>
      <w:r>
        <w:t>+ Tại Khoản 1, Điều 4 đã được sửa đổi bổ sung tại Nghị định số 70/2025/NĐ-CP ngày 20/03/2025 sửa đổi Nghị định số 123/2020/NĐ-CP, có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 Tại Khoản 1, Điều 9, có quy định:</w:t>
      </w:r>
    </w:p>
    <w:p>
      <w:r>
        <w:t>“Điều 9.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 Căn cứ Điều 4 Thông tư số 96/2015/TT-BTC, ngày 22/6/2015 của Bộ Tài chính sửa đổi, bổ sung Điều 6 Thông tư số 78/2014/TT-BTC, ngày 18/6/2014 của Bộ Tài chính hướng dẫn về thuế thu nhập doanh nghiệp, như sau:</w:t>
      </w:r>
    </w:p>
    <w:p>
      <w:r>
        <w:t>“Điều 6. Các khoản chỉ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2.1.    Khoản chi không đáp ứng đủ các điều kiện quy định tại Khoản 1 Điều này.”</w:t>
      </w:r>
    </w:p>
    <w:p>
      <w:r>
        <w:t>Căn cứ các quy định nêu trên, Chi cục Thuế Khu vực XVI có ý kiến, như sau:</w:t>
      </w:r>
    </w:p>
    <w:p>
      <w:r>
        <w:t>Trường hợp Công ty mua phiếu mua hàng của các nhà cung cấp hàng hóa, dịch vụ để tặng công nhân viên thì khi thu tiền, bên bán lập chứng từ thu. Khi sử dụng để mua hàng hóa, dịch vụ là thời điểm bên bán lập hóa đơn theo quy định.</w:t>
      </w:r>
    </w:p>
    <w:p>
      <w:r>
        <w:t>Đề nghị Công ty căn cứ tình hình thực tế đáp ứng tại Công ty và đối chiếu với các quy định tại văn bản pháp luật nêu trên để thực hiện đúng quy định.</w:t>
      </w:r>
    </w:p>
    <w:p>
      <w:r>
        <w:t>Trên đây là ý kiến của Chi cục Thuế Khu vực XVI thông báo cho Công ty biết, thực hiện./.</w:t>
      </w:r>
    </w:p>
    <w:p>
      <w:r>
        <w:t>Nơi nhận:</w:t>
      </w:r>
    </w:p>
    <w:p>
      <w:r>
        <w:t>- Như trên;</w:t>
      </w:r>
    </w:p>
    <w:p>
      <w:r>
        <w:t>- Web;</w:t>
      </w:r>
    </w:p>
    <w:p>
      <w:r>
        <w:t>- Lưu: VT, QLDN 2</w:t>
      </w:r>
    </w:p>
    <w:p>
      <w:r>
        <w:t>(250429/ZV09/0001/7401/016879726)</w:t>
      </w:r>
    </w:p>
    <w:p>
      <w:r>
        <w:t>KT. CỤC TRƯỞNG</w:t>
      </w:r>
    </w:p>
    <w:p>
      <w:r>
        <w:t>PHÓ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