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73/TCT-CS</w:t>
      </w:r>
    </w:p>
    <w:p>
      <w:r>
        <w:t>V/v chính sách thuế TNDN</w:t>
      </w:r>
    </w:p>
    <w:p>
      <w:r>
        <w:t>Hà Nội, ngày 07 tháng 01 năm 2025</w:t>
      </w:r>
    </w:p>
    <w:p>
      <w:r>
        <w:t>Kính gửi:  Cục Thuế thành phố Đà Nẵng</w:t>
      </w:r>
    </w:p>
    <w:p>
      <w:r>
        <w:t>Tổng cục Thuế nhận được công văn số 8125/CTDAN-TTKT2 ngày 17/10/2024 của Cục Thuế thành phố Đà Nẵng vướng mắc về hoạt động chuyển nhượng vốn của Công ty TNHH Keengold Enterprises. Về vấn đề này, Tổng cục Thuế có ý kiến như sau:</w:t>
      </w:r>
    </w:p>
    <w:p>
      <w:r>
        <w:t>- Căn cứ Thông tư số 78/2014/TT-BTC ngày 18/6/2014 của Bộ Tài chính hướng dẫn thi hành Nghị định 218/2013/NĐ-CP ngày 26/12/2013 của Chính phủ quy định và hướng dẫn thi hành Luật thuế TNDN quy định:</w:t>
      </w:r>
    </w:p>
    <w:p>
      <w:r>
        <w:t>+ Tại khoản 2 Điều 2 Chương I hướng dẫn về người nộp thuế:</w:t>
      </w:r>
    </w:p>
    <w:p>
      <w: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
        <w:t>+ Tại tiết a khoản 2 Điều 14 Chương IV hướng dẫn về thu nhập tính thuế từ chuyển nhượng vốn:</w:t>
      </w:r>
    </w:p>
    <w:p>
      <w:r>
        <w:t>“(a) Thu nhập tính thuế từ chuyển nhượng vốn được xác định</w:t>
      </w:r>
    </w:p>
    <w:p>
      <w:r>
        <w:t>Thu nhập</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tổng giá trị thực tế mà bên chuyển nhượng thu được, theo hợp đồng chuyển nhượng.</w:t>
      </w:r>
    </w:p>
    <w:p>
      <w:r>
        <w:t>…</w:t>
      </w:r>
    </w:p>
    <w:p>
      <w:r>
        <w:t>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r>
        <w:t>Căn cứ ấn định giá chuyển nhượng dựa vào tài liệu điều tra của cơ quan thuế hoặc căn cứ giá chuyển nhượng vốn của các trường hợp khác ở cùng thời gian,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r>
        <w:t>Doanh nghiệp có hoạt động chuyển nhượng vốn cho tổ chức, cá nhân thì phần giá trị vốn chuyển nhượng theo hợp đồng chuyển nhượng có giá trị từ hai mươi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r>
        <w:t>- Giá mua của phần vốn chuyển nhượng được xác định đối với từng trường hợp như sau:</w:t>
      </w:r>
    </w:p>
    <w:p>
      <w:r>
        <w:t>…”</w:t>
      </w:r>
    </w:p>
    <w:p>
      <w:r>
        <w:t>+ Tại tiết c khoản 2 Điều 14 Chương IV quy định về khai nộp thuế chuyển nhượng vốn:</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Căn cứ Điều 50 Luật Quản lý thuế số 38/2019/QH14 quy định về ấn định thuế:</w:t>
      </w:r>
    </w:p>
    <w:p>
      <w:r>
        <w:t>“1. Người nộp thuế bị ấn định thuế khi thuộc một trong các trường hợp vi phạm pháp luật về thuế sau đây:</w:t>
      </w:r>
    </w:p>
    <w:p>
      <w:r>
        <w:t>…</w:t>
      </w:r>
    </w:p>
    <w:p>
      <w:r>
        <w:t>đ) Mua, bán, trao đổi và hạch toán giá trị hàng hóa, dịch vụ không theo giá trị giao dịch thông thường trên thị trường;”</w:t>
      </w:r>
    </w:p>
    <w:p>
      <w:r>
        <w:t>Căn cứ các quy định nêu trên, trường hợp doanh nghiệp có hợp đồng chuyển nhượng không quy định giá thanh toán hoặc cơ quan thuế có cơ sở để xác định giá thanh toán không phù hợp theo giá thị trường, cơ quan thuế có quyền kiểm tra và ấn định giá chuyển nhượng.</w:t>
      </w:r>
    </w:p>
    <w:p>
      <w:r>
        <w:t>Căn cứ tiết a khoản 2 Điều 14 Thông tư số 78/2014/TT-BTC, giá chuyển nhượng cần được xác định tại thời điểm chuyển nhượng. Do đó, đề nghị Cục Thuế dựa vào hợp đồng, hồ sơ, tài liệu có liên quan, áp dụng các phương pháp xác định giá trị doanh nghiệp phù hợp, căn cứ các quy định pháp luật về quản lý thuế để xác định giá chuyển nhượng đối với hoạt động chuyển nhượng vốn của Công ty TNHH Keengold Enterprises.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r>
        <w:t>Tổng cục Thuế thông báo để Cục Thuế thành phố Đà Nẵng được biết./.</w:t>
      </w:r>
    </w:p>
    <w:p>
      <w:r>
        <w:t>Nơi nhận:</w:t>
      </w:r>
    </w:p>
    <w:p>
      <w:r>
        <w:t>- Như trên;</w:t>
      </w:r>
    </w:p>
    <w:p>
      <w:r>
        <w:t>- Phó TCTr Đặng Ngọc Minh (để b/c);</w:t>
      </w:r>
    </w:p>
    <w:p>
      <w:r>
        <w:t>- Vụ PC - TCT;</w:t>
      </w:r>
    </w:p>
    <w:p>
      <w:r>
        <w:t>- Cục TTKT;</w:t>
      </w:r>
    </w:p>
    <w:p>
      <w:r>
        <w:t>- WebsiteTCT;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