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632/CT-CS năm 2025 về chính sách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632/CT-CS</w:t>
      </w:r>
    </w:p>
    <w:p>
      <w:r>
        <w:t>V/v Chính sách thuế thu nhập cá nhân</w:t>
      </w:r>
    </w:p>
    <w:p>
      <w:r>
        <w:t>Hà Nội, ngày 16 tháng 4 năm 2025</w:t>
      </w:r>
    </w:p>
    <w:p>
      <w:r>
        <w:t>Kính gửi:  Chi cục Thuế khu vực I</w:t>
      </w:r>
    </w:p>
    <w:p>
      <w:r>
        <w:t>Cục Thuế nhận được công văn số 9800/CTHN-TTKT8 ngày 28/2/2025 của Cục Thuế TP Hà Nội (nay là Chi cục Thuế khu vực I) về việc báo cáo về tính thuế thu nhập cá nhân với tiền lương làm thêm giờ. Về vấn đề này, Cục Thuế có ý kiến như sau:</w:t>
      </w:r>
    </w:p>
    <w:p>
      <w:r>
        <w:t>Căn cứ Điều 98 Bộ Luật Lao động số 45/2019/QH14 ngày 20/11/2019;</w:t>
      </w:r>
    </w:p>
    <w:p>
      <w:r>
        <w:t>Căn cứ Điều 55 và Điều 57 Nghị định số 145/2020/NĐ-CP ngày 14/12/2020 của Chính Phủ quy định chi tiết và hướng dẫn thi hành một số điều của Bộ Luật lao động về điều kiện lao động và quan hệ lao động;</w:t>
      </w:r>
    </w:p>
    <w:p>
      <w:r>
        <w:t>Căn cứ điểm i khoản 1 Điều 3 và điểm a khoản 2 Điều 8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Căn cứ các quy định nêu trên thì thu nhập từ phần tiền lương, tiền công làm việc ban đêm, làm thêm giờ được trả cao hơn so với tiền lương, tiền công làm việc ban ngày, làm việc trong giờ theo quy định của Bộ luật Lao động được miễn thuế thu nhập cá nhân.</w:t>
      </w:r>
    </w:p>
    <w:p>
      <w:r>
        <w:t>Đề nghị Chi cục Thuế khu vực I căn cứ các quy định tại Bộ Luật Lao động, chính sách thuế thu nhập cá nhân và hồ sơ thực tế, quy chế tiền lương của tổ chức/doanh nghiệp, hợp đồng lao động để thực hiện đúng quy định.</w:t>
      </w:r>
    </w:p>
    <w:p>
      <w:r>
        <w:t>Cục Thuế thông báo để Chi cục Thuế khu vực I được biết./.</w:t>
      </w:r>
    </w:p>
    <w:p>
      <w:r>
        <w:t>Nơi nhận:</w:t>
      </w:r>
    </w:p>
    <w:p>
      <w:r>
        <w:t>- Như trên;</w:t>
      </w:r>
    </w:p>
    <w:p>
      <w:r>
        <w:t>- PCTr Đặng Ngọc Minh (để b/c);</w:t>
      </w:r>
    </w:p>
    <w:p>
      <w:r>
        <w:t>- Ban PC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