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62909/CTHN-TTHT năm 2023 về chi phí được trừ khi xác định thuế thu nhập doanh nghiệp và khấu trừ thuế giá trị gia tăng đầu vào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62909/CTHN-TTHT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62909/CTHN-TTHT</w:t>
      </w:r>
    </w:p>
    <w:p>
      <w:r>
        <w:t>V/v chi phí được trừ khi xác định thuế TNDN và khấu trừ thuế GTGT đầu vào</w:t>
      </w:r>
    </w:p>
    <w:p>
      <w:r>
        <w:t>Hà Nội, ngày 28 tháng 8 năm 2023</w:t>
      </w:r>
    </w:p>
    <w:p>
      <w:r>
        <w:t>Kính gửi:  Công ty TNHH Sun Asterisk Việt Nam</w:t>
      </w:r>
    </w:p>
    <w:p>
      <w:r>
        <w:t>(Địa chỉ: T13, Keangnam Hanoi Landmark Tower, khu E6, khu ĐTM Cầu Giấy, P. Mễ Trì, Q. Nam Từ Liêm, TP Hà Nội; MST: 0106045931)</w:t>
      </w:r>
    </w:p>
    <w:p>
      <w:r>
        <w:t>Cục Thuế TP Hà Nội nhận được công văn số 42/2023/CV-SAHN ngày 02/8/2023 của Công ty TNHH Sun Asterisk Việt Nam đề nghị giải đáp vướng mắc về chi phí được trừ khi xác định thuế TNDN và khấu trừ thuế GTGT đầu vào. Cục Thuế TP Hà Nội có ý kiến như sau:</w:t>
      </w:r>
    </w:p>
    <w:p>
      <w:r>
        <w:t>- Căn cứ Điều 4 Thông tư số 96/2015/TT-BTC ngày 22/06/2015 của Bộ Tài chính về sửa đổi, bổ sung Điều 6 Thông tư số 78/2014/TT-BTC ngày 18/06/2014 đã được sửa đổi, bổ sung tại Khoản 2 Điều 6 Thông tư số 119/2014/TT-BTC và Điều 1 Thông tư số 151/2014/TT-BTC) hướng dẫn về thuế thu nhập doanh nghiệp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Căn cứ Khoản 1 Điều 14 Thông tư số 219/2013/TT-BTC ngày 31/12/2013 của Bộ Tài chính hướng dẫn thi hành Luật Thuế GTGT và Nghị định số 209/2013/NĐ-CP ngày 18/12/2013 của Chính phủ quy định chi tiết và hướng dẫn thi hành một số điều Luật Thuế GTGT, hướng dẫn nguyên tắc khấu trừ thuế GTGT như sau:</w:t>
      </w:r>
    </w:p>
    <w:p>
      <w:r>
        <w:t>“Điều 14.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w:t>
      </w:r>
    </w:p>
    <w:p>
      <w:r>
        <w:t>- Căn cứ khoản 10 Điều 1 Thông tư số 26/2015/TT-BTC ngày 27/02/2015 của Bộ Tài chính hướng dẫn về thuế GTGT và quản lý thuế tại Nghị định số 12/2015/NĐ-CP ngày 12/2/2015 của Chính phủ quy định sửa đổi, bổ sung Điều 15 Thông tư số 219/2013/TT-BTC ngày 31/12/2013 của Bộ Tài chính (đã được sửa đổi, bổ sung tại Thông tư số 119/2014/TT-BTC ngày 25/8/2014 và Thông tư số 151/2014/TT-BTC ngày 10/10/2014 của Bộ Tài chính) quy định về điều kiện khấu trừ thuế GTGT đầu vào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Căn cứ các quy định trên, trường hợp Công ty có các khoản chi đáp ứng quy định tại Điều 4 Thông tư số 96/2015/TT-BTC ngày 22/06/2015 của Bộ Tài chính thì được tính vào chi phí được trừ khi xác định thu nhập chịu thuế TNDN.</w:t>
      </w:r>
    </w:p>
    <w:p>
      <w:r>
        <w:t>Trường hợp Công ty có phát sinh thuế GTGT đầu vào để phục vụ cho hoạt động sản xuất, kinh doanh hàng hóa, dịch vụ chịu thuế GTGT thì được khấu trừ toàn bộ nếu đáp ứng các điều kiện khấu trừ thuế GTGT đầu vào quy định tại khoản 10 Điều 1 Thông tư số 26/2015/TT-BTC ngày 27/02/2015 của Bộ Tài chính và thực hiện theo đúng nguyên tắc khấu trừ thuế GTGT đầu vào quy định tại Điều 14 Thông tư số 219/2013/TT-BTC ngày 31/12/2013 của Bộ Tài chính.</w:t>
      </w:r>
    </w:p>
    <w:p>
      <w:r>
        <w:t>Đề nghị Công ty TNHH Sun Asterisk Việt Nam căn cứ các quy định của pháp luật được trích dẫn nêu trên và đối chiếu với thực tế kinh doanh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Sun Asterisk Việt Nam được biết và thực hiện./.</w:t>
      </w:r>
    </w:p>
    <w:p>
      <w:r>
        <w:t>Nơi nhận:</w:t>
      </w:r>
    </w:p>
    <w:p>
      <w:r>
        <w:t>- Như trên;</w:t>
      </w:r>
    </w:p>
    <w:p>
      <w:r>
        <w:t>- Phòng 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