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59259/CTHN-TTHT năm 2023 về lãi suất cho vay giữa các công ty liên kết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59259/CTHN-TTHT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59259/CTHN-TTHT</w:t>
      </w:r>
    </w:p>
    <w:p>
      <w:r>
        <w:t>V/v lãi suất cho vay giữa các công ty liên kết</w:t>
      </w:r>
    </w:p>
    <w:p>
      <w:r>
        <w:t>Hà Nội, ngày 15 tháng 08 năm 2023</w:t>
      </w:r>
    </w:p>
    <w:p>
      <w:r>
        <w:t>Kính gửi:  Công ty TNHH Dịch vụ Thông tin Di động</w:t>
      </w:r>
    </w:p>
    <w:p>
      <w:r>
        <w:t>Đ/c: Tầng 25, Khối B, tòa nhà Sông Đà, số 18 đường Phạm Hùng, TP. Hà Nội;</w:t>
      </w:r>
    </w:p>
    <w:p>
      <w:r>
        <w:t>MST: 0101379867</w:t>
      </w:r>
    </w:p>
    <w:p>
      <w:r>
        <w:t>Trả lời công văn số 01.7/CV-MIS ngày 06/07/2023 của Công ty TNHH Dịch vụ Thông tin Di động vướng mắc về chi phí trước khi thành lập doanh nghiệp, Cục Thuế TP Hà Nội có ý kiến như sau:</w:t>
      </w:r>
    </w:p>
    <w:p>
      <w:r>
        <w:t>- Căn cứ Luật Quản lý thuế số 38/2019/QH14 ngày 13/6/2019 của Quốc hội:</w:t>
      </w:r>
    </w:p>
    <w:p>
      <w:r>
        <w:t>Tại Khoản 5 Điều 42 quy định về nguyên tắc kê khai, xác định giá tính thuế đối với giao dịch liên kết:</w:t>
      </w:r>
    </w:p>
    <w:p>
      <w:r>
        <w:t>“a) Kê khai, xác định giá giao dịch liên kết theo nguyên tắc phân tích, so sánh với các giao dịch độc lập và nguyên tắc bản chất hoạt động, giao dịch quyết định nghĩa vụ thuế để xác định nghĩa vụ thuế phải nộp như trong điều kiện giao dịch giữa các bên độc lập;</w:t>
      </w:r>
    </w:p>
    <w:p>
      <w:r>
        <w:t>b) Giá giao dịch liên kết được điều chỉnh theo giao dịch độc lập để kê khai, xác định số tiền thuế phải nộp theo nguyên tắc không làm giảm thu nhập chịu thuế;</w:t>
      </w:r>
    </w:p>
    <w:p>
      <w:r>
        <w:t>c) Người nộp thuế có quy mô nhỏ, rủi ro về thuế thấp được miễn thực hiện quy định tại điểm a, điểm b khoản này và được áp dụng cơ chế đơn giản hóa trong kê khai, xác định giá giao dịch liên kết.”</w:t>
      </w:r>
    </w:p>
    <w:p>
      <w:r>
        <w:t>Tại Điều 50 quy định về ấn định thuế đối với người nộp thuế trong trường hợp vi phạm pháp luật về thuế:</w:t>
      </w:r>
    </w:p>
    <w:p>
      <w:r>
        <w:t>“1. Người nộp thuế bị ấn định thuế khi thuộc một trong các trường hợp vi phạm pháp luật về thuế sau đây:</w:t>
      </w:r>
    </w:p>
    <w:p>
      <w:r>
        <w:t>đ) Mua, bán, trao đổi và hạch toán giá trị hàng hóa, dịch vụ không theo giá trị giao dịch thông thường trên thị trường;</w:t>
      </w:r>
    </w:p>
    <w:p>
      <w:r>
        <w:t>…</w:t>
      </w:r>
    </w:p>
    <w:p>
      <w:r>
        <w:t>i) Không tuân thủ quy định về nghĩa vụ kê khai, xác định giá giao dịch liên kết hoặc không cung cấp thông tin theo quy định về quản lý thuế đối với doanh nghiệp có phát sinh giao dịch liên kết.</w:t>
      </w:r>
    </w:p>
    <w:p>
      <w:r>
        <w:t>…”</w:t>
      </w:r>
    </w:p>
    <w:p>
      <w:r>
        <w:t>- Căn cứ Điều 15 Nghị định số 126/2020/NĐ-CP ngày 19/10/2020 quy định về căn cứ ấn định thuế:</w:t>
      </w:r>
    </w:p>
    <w:p>
      <w:r>
        <w:t>“…b) Căn cứ ấn định thuế</w:t>
      </w:r>
    </w:p>
    <w:p>
      <w:r>
        <w:t>b.1) Đối với người nộp thuế là tổ chức</w:t>
      </w:r>
    </w:p>
    <w:p>
      <w:r>
        <w:t>Căn cứ cơ sở dữ liệu của cơ quan quản lý thuế và cơ sở dữ liệu thương mại; tài liệu và kết quả kiểm tra, thanh tra còn hiệu lực; kết quả xác minh; số tiền thuế phải nộp bình quân tối thiểu của 03 cơ sở kinh doanh cùng mặt hàng, ngành, nghề, quy mô tại địa phương; trường hợp tại địa phương, cơ sở kinh doanh không có hoặc có nhưng không đủ thông tin về mặt hàng, ngành, nghề, quy mô cơ sở kinh doanh thì lấy thông tin của cơ sở kinh doanh tại địa phương khác để thực hiện ấn định theo từng yếu tố.</w:t>
      </w:r>
    </w:p>
    <w:p>
      <w:r>
        <w:t>…”</w:t>
      </w:r>
    </w:p>
    <w:p>
      <w:r>
        <w:t>- Căn cứ Điều 3 Nghị định số 132/2020/NĐ-CP ngày 05/11/2020 của Chính phủ quy định về nguyên tắc áp dụng quản lý thuế đối với doanh nghiệp có giao dịch liên kết:</w:t>
      </w:r>
    </w:p>
    <w:p>
      <w:r>
        <w:t>“1. Người nộp thuế có giao dịch liên kết phải loại trừ các yếu tố làm giảm nghĩa vụ thuế do quan hệ liên kết chi phối, tác động để kê khai, xác định nghĩa vụ thuế đối với các giao dịch liên kết tương đương với các giao dịch độc lập có cùng điều kiện.</w:t>
      </w:r>
    </w:p>
    <w:p>
      <w:r>
        <w:t>2. Cơ quan thuế quản lý, kiểm tra, thanh tra đối với giá giao dịch liên kết của người nộp thuế theo nguyên tắc giao dịch độc lập và hàn chất hoạt động, giao dịch quyết định nghĩa vụ thuế tương ứng với giá trị tạo ra từ bản chất giao dịch, hoạt động sản xuất, kinh doanh của người nộp thuế, không công nhận các giao dịch liên kết không theo nguyên tắc giao dịch độc lập làm giảm nghĩa vụ thuế của doanh nghiệp với ngân sách nhà nước và thực hiện điều chỉnh giá giao dịch liên kết đó để xác định đúng nghĩa vụ thuế quy định của Nghị định này.”</w:t>
      </w:r>
    </w:p>
    <w:p>
      <w:r>
        <w:t>Căn cứ các quy định trên, Cục Thuế TP Hà Nội có ý kiến như sau:</w:t>
      </w:r>
    </w:p>
    <w:p>
      <w:r>
        <w:t>Trường hợp người nộp thuế có phát sinh hoạt động mua, bán, trao đổi và hạch toán giá trị hàng hóa, dịch vụ không theo giá trị giao dịch thông thường trên thị trường; không tuân thủ quy định về nghĩa vụ kê khai, xác định giá giao dịch liên kết thì thuộc trường hợp bị ấn định thuế theo quy định tại Điều 50 Luật Quản lý thuế số 38/2019/QH14.</w:t>
      </w:r>
    </w:p>
    <w:p>
      <w:r>
        <w:t>Căn cứ ấn định thuế đối với người nộp thuế là tổ chức thực hiện theo quy định tại Điều 15 Nghị định số 126/2020/NĐ-CP.</w:t>
      </w:r>
    </w:p>
    <w:p>
      <w:r>
        <w:t>Về nội dung hợp đồng cho vay giữa các doanh nghiệp với lãi suất thỏa thuận có đúng quy định của pháp luật không thuộc thẩm quyền của cơ quan thuế, đề nghị Công ty liên hệ đến cơ quan có thẩm quyền (Ngân hàng Nhà nước Việt Nam) để được hướng dẫn.</w:t>
      </w:r>
    </w:p>
    <w:p>
      <w:r>
        <w:t>Trong quá trình thực hiện chính sách thuế, trường hợp còn vướng mắc, đơn vị có thể tham khảo các văn bản hướng dẫn của Cục Thuế TP Hà Nội được đăng tải trên website  http://hanoi.gdt.gov.vn  hoặc liên hệ với Phòng Thanh tra - Kiểm tra số 2 để được hỗ trợ giải quyết.</w:t>
      </w:r>
    </w:p>
    <w:p>
      <w:r>
        <w:t>Cục Thuế TP Hà Nội trả lời để Công ty TNHH Dịch vụ Thông tin Di động được biết./.</w:t>
      </w:r>
    </w:p>
    <w:p>
      <w:r>
        <w:t>Nơi nhận:</w:t>
      </w:r>
    </w:p>
    <w:p>
      <w:r>
        <w:t>- Như trên;</w:t>
      </w:r>
    </w:p>
    <w:p>
      <w:r>
        <w:t>- Phòng NVDTPC;</w:t>
      </w:r>
    </w:p>
    <w:p>
      <w:r>
        <w:t>- Phòng TTKT 2;</w:t>
      </w:r>
    </w:p>
    <w:p>
      <w:r>
        <w:t>- Lưu: VT, TTHT(2).</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